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УТВЕРЖДЕНО</w:t>
      </w:r>
    </w:p>
    <w:p w:rsidR="00C74BBE" w:rsidRPr="00E94C2A" w:rsidRDefault="00A80D3D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proofErr w:type="gramStart"/>
      <w:r>
        <w:t>постановлением</w:t>
      </w:r>
      <w:proofErr w:type="gramEnd"/>
      <w:r w:rsidR="00C74BBE" w:rsidRPr="00E94C2A">
        <w:t> администрации</w:t>
      </w:r>
    </w:p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Новосибирского района</w:t>
      </w:r>
    </w:p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Новосибирской области</w:t>
      </w:r>
    </w:p>
    <w:p w:rsidR="00863FC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proofErr w:type="gramStart"/>
      <w:r w:rsidRPr="00E94C2A">
        <w:t>от</w:t>
      </w:r>
      <w:proofErr w:type="gramEnd"/>
      <w:r w:rsidRPr="00E94C2A">
        <w:t xml:space="preserve"> </w:t>
      </w:r>
      <w:r w:rsidRPr="00E94C2A">
        <w:rPr>
          <w:u w:val="single"/>
        </w:rPr>
        <w:t xml:space="preserve"> </w:t>
      </w:r>
      <w:r w:rsidR="002C53FF">
        <w:rPr>
          <w:u w:val="single"/>
        </w:rPr>
        <w:t xml:space="preserve">    </w:t>
      </w:r>
      <w:r w:rsidRPr="00E94C2A">
        <w:rPr>
          <w:u w:val="single"/>
        </w:rPr>
        <w:t xml:space="preserve">       </w:t>
      </w:r>
      <w:r w:rsidR="002C53FF">
        <w:rPr>
          <w:u w:val="single"/>
        </w:rPr>
        <w:t xml:space="preserve"> </w:t>
      </w:r>
      <w:r w:rsidRPr="00E94C2A">
        <w:rPr>
          <w:u w:val="single"/>
        </w:rPr>
        <w:t xml:space="preserve">                 </w:t>
      </w:r>
      <w:r w:rsidR="00716B18">
        <w:t xml:space="preserve"> </w:t>
      </w:r>
      <w:r w:rsidR="002C53FF">
        <w:t xml:space="preserve"> №  ____</w:t>
      </w:r>
      <w:r w:rsidRPr="00E94C2A">
        <w:t>__</w:t>
      </w:r>
    </w:p>
    <w:p w:rsidR="00863FCA" w:rsidRDefault="00863FCA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</w:pPr>
    </w:p>
    <w:p w:rsidR="00863FCA" w:rsidRDefault="00531990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>
        <w:rPr>
          <w:b/>
        </w:rPr>
        <w:t>ПОЛОЖЕНИЕ</w:t>
      </w:r>
    </w:p>
    <w:p w:rsidR="00863FCA" w:rsidRDefault="009F2F37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конкурсе поддержки молодежных инициатив</w:t>
      </w:r>
    </w:p>
    <w:p w:rsidR="00B55358" w:rsidRDefault="00B55358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</w:p>
    <w:p w:rsidR="00863FCA" w:rsidRPr="001167ED" w:rsidRDefault="000F6DB3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1</w:t>
      </w:r>
      <w:r w:rsidR="00531990" w:rsidRPr="001167ED">
        <w:rPr>
          <w:b/>
        </w:rPr>
        <w:t xml:space="preserve">. Общие положения </w:t>
      </w:r>
    </w:p>
    <w:p w:rsidR="00B55358" w:rsidRPr="00B55358" w:rsidRDefault="00B55358" w:rsidP="00B553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  <w:r w:rsidRPr="00B55358">
        <w:t>1.1. Настоящее Положение</w:t>
      </w:r>
      <w:r w:rsidR="009F2F37">
        <w:t xml:space="preserve"> </w:t>
      </w:r>
      <w:r w:rsidR="009F2F37" w:rsidRPr="009F2F37">
        <w:t>о конкурсе поддержки молодежных инициатив</w:t>
      </w:r>
      <w:r w:rsidR="009F2F37">
        <w:t xml:space="preserve"> (далее – Положение) определяет </w:t>
      </w:r>
      <w:r w:rsidR="009F2F37" w:rsidRPr="009F2F37">
        <w:t>цель, задачи и порядок проведения конкурса поддержки молод</w:t>
      </w:r>
      <w:r w:rsidR="009F2F37">
        <w:t>е</w:t>
      </w:r>
      <w:r w:rsidR="009F2F37" w:rsidRPr="009F2F37">
        <w:t>жных инициатив (далее – Конкурс)</w:t>
      </w:r>
      <w:r w:rsidR="004C1F58">
        <w:t xml:space="preserve"> в 2020 году</w:t>
      </w:r>
      <w:r w:rsidR="00CD3E0A">
        <w:t xml:space="preserve"> в рамках </w:t>
      </w:r>
      <w:r w:rsidR="00CD3E0A" w:rsidRPr="00CD3E0A">
        <w:t>муниципальной программы Новосибирского района Новосибирской области «Развитие молод</w:t>
      </w:r>
      <w:r w:rsidR="00687E62">
        <w:t>е</w:t>
      </w:r>
      <w:r w:rsidR="00CD3E0A" w:rsidRPr="00CD3E0A">
        <w:t>жной политики в Новосибирском районе Новосибирской области на 2019-2021 годы»</w:t>
      </w:r>
      <w:r w:rsidR="00373ADC">
        <w:t>,</w:t>
      </w:r>
      <w:r w:rsidR="00373ADC" w:rsidRPr="00373ADC">
        <w:t xml:space="preserve"> </w:t>
      </w:r>
      <w:r w:rsidR="00373ADC">
        <w:t xml:space="preserve">утверждённой постановлением администрации Новосибирского района Новосибирской области от 21.12.2018 г. </w:t>
      </w:r>
      <w:r w:rsidR="00132F38">
        <w:t>№</w:t>
      </w:r>
      <w:r w:rsidR="00373ADC">
        <w:t>1410-па</w:t>
      </w:r>
      <w:r w:rsidR="00CD3E0A">
        <w:t>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</w:pPr>
      <w:r>
        <w:t xml:space="preserve">1.2. По итогам Конкурса оказывается материальная поддержка в реализации </w:t>
      </w:r>
      <w:r>
        <w:t>п</w:t>
      </w:r>
      <w:r>
        <w:t>роектов муниципальных образований Новосибирского района.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</w:pPr>
      <w:r>
        <w:t>1.3. Организатором Конкурса является управление по работе с органами местного самоуправления, общественными организациями и молод</w:t>
      </w:r>
      <w:r>
        <w:t>е</w:t>
      </w:r>
      <w:r>
        <w:t xml:space="preserve">жной политики администрации Новосибирского района Новосибирской области совместно с МКУ «Управление образования Новосибирского района Новосибирской области» и МКУ </w:t>
      </w:r>
      <w:r>
        <w:t>«</w:t>
      </w:r>
      <w:r>
        <w:t>Управление культуры Новосибирского района Новосибирской области</w:t>
      </w:r>
      <w:r>
        <w:t>»</w:t>
      </w:r>
      <w:r>
        <w:t>.</w:t>
      </w:r>
    </w:p>
    <w:p w:rsidR="00CB03FD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  <w:r>
        <w:t>1.4. Конкурс проводится в рамках реализации муниципальной программы Новосибирского района Новосибирской области «Развитие молод</w:t>
      </w:r>
      <w:r>
        <w:t>е</w:t>
      </w:r>
      <w:r>
        <w:t>жной политики в Новосибирском районе Новосибирской области на 2019-2021 годы».</w:t>
      </w:r>
    </w:p>
    <w:p w:rsidR="009F2F37" w:rsidRPr="001167ED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</w:p>
    <w:p w:rsidR="00863FCA" w:rsidRPr="001167ED" w:rsidRDefault="000F6DB3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2</w:t>
      </w:r>
      <w:r w:rsidR="00531990" w:rsidRPr="001167ED">
        <w:rPr>
          <w:b/>
        </w:rPr>
        <w:t>. </w:t>
      </w:r>
      <w:r w:rsidR="009F2F37" w:rsidRPr="001167ED">
        <w:rPr>
          <w:b/>
        </w:rPr>
        <w:t>Цел</w:t>
      </w:r>
      <w:r w:rsidR="009F2F37">
        <w:rPr>
          <w:b/>
        </w:rPr>
        <w:t>ь</w:t>
      </w:r>
      <w:r w:rsidR="009F2F37" w:rsidRPr="001167ED">
        <w:rPr>
          <w:b/>
        </w:rPr>
        <w:t xml:space="preserve"> и задачи </w:t>
      </w:r>
      <w:r w:rsidR="009F2F37">
        <w:rPr>
          <w:b/>
        </w:rPr>
        <w:t>Конкурса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2.1. Конкурс проводится с целью муниципальной поддержки социально-значимых молодежных инициатив на территории муниципальных образований Новосибирского района.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2.2. Задачи Конкурса: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1) привлечь внимание молодежи района к решению социально-значимых проблем;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2) выявить лучшие социально-значимые проекты;</w:t>
      </w:r>
    </w:p>
    <w:p w:rsidR="00CB03FD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outlineLvl w:val="9"/>
      </w:pPr>
      <w:r>
        <w:t>3) осуществить поддержку социально-значимых молодежных инициатив на территории муниципальных образований Новосибирского района.</w:t>
      </w:r>
    </w:p>
    <w:p w:rsidR="009F2F37" w:rsidRPr="001167ED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outlineLvl w:val="9"/>
      </w:pPr>
    </w:p>
    <w:p w:rsidR="00863FCA" w:rsidRPr="001167ED" w:rsidRDefault="00CB03FD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3</w:t>
      </w:r>
      <w:r w:rsidR="00531990" w:rsidRPr="001167ED">
        <w:rPr>
          <w:b/>
        </w:rPr>
        <w:t>. </w:t>
      </w:r>
      <w:r w:rsidR="009F2F37" w:rsidRPr="001167ED">
        <w:rPr>
          <w:b/>
        </w:rPr>
        <w:t xml:space="preserve">Участники </w:t>
      </w:r>
      <w:r w:rsidR="009F2F37">
        <w:rPr>
          <w:b/>
        </w:rPr>
        <w:t>Конкурса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3.1. Участниками Конкурса являются жители Новосибирского района в возрасте от 14 до 30 лет.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lastRenderedPageBreak/>
        <w:t>3.2. Для участия в Конкурсе необходимо зарегистрироваться в автоматизированной информационной системе «Молодежь России» по адресу https://myrosmol.ru/event/47797.</w:t>
      </w:r>
    </w:p>
    <w:p w:rsidR="00C4223C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>3.3. В Конкурсе может быть заявлен только один Проект от одного участника.</w:t>
      </w:r>
    </w:p>
    <w:p w:rsidR="009F2F37" w:rsidRPr="001167ED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863FCA" w:rsidRPr="0075651A" w:rsidRDefault="00163BA2" w:rsidP="009B1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</w:pPr>
      <w:r w:rsidRPr="0075651A">
        <w:rPr>
          <w:b/>
        </w:rPr>
        <w:t>4</w:t>
      </w:r>
      <w:r w:rsidR="000755C6" w:rsidRPr="0075651A">
        <w:rPr>
          <w:b/>
        </w:rPr>
        <w:t>. </w:t>
      </w:r>
      <w:r w:rsidR="00531990" w:rsidRPr="0075651A">
        <w:rPr>
          <w:b/>
        </w:rPr>
        <w:t> </w:t>
      </w:r>
      <w:r w:rsidR="009F2F37" w:rsidRPr="00ED6958">
        <w:rPr>
          <w:b/>
        </w:rPr>
        <w:t>Порядок проведения Конкурса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4.1. Конкурс проводится в </w:t>
      </w:r>
      <w:r>
        <w:t>шесть</w:t>
      </w:r>
      <w:r>
        <w:t xml:space="preserve"> этапа: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 I этап (заочный): с 21 октября по 01 ноября 2020 года - регистрация участников и подача заявки</w:t>
      </w:r>
      <w:r w:rsidR="00A265CA">
        <w:t xml:space="preserve"> (Приложение 1)</w:t>
      </w:r>
      <w:r>
        <w:t xml:space="preserve"> на участие осуществляются в автоматизированной информационной системе «Молодежь России» на сайте https://myrosmol.ru/event/47797. Проект для участия прикрепляется на сайте при регистрации;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2) II этап: с 02 по 04 ноября 2020 года - экспертиза </w:t>
      </w:r>
      <w:r>
        <w:t>п</w:t>
      </w:r>
      <w:r>
        <w:t>роектов Конкурса и подведени</w:t>
      </w:r>
      <w:r>
        <w:t>е итогов заочного этапа</w:t>
      </w:r>
      <w:r>
        <w:t xml:space="preserve">; 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3) III этап (очный): 05 ноября </w:t>
      </w:r>
      <w:r>
        <w:t xml:space="preserve">2020 года – защита </w:t>
      </w:r>
      <w:r>
        <w:t>п</w:t>
      </w:r>
      <w:r>
        <w:t>роектов. Защита проводится посредством очной встречи в соответствии с графиком. График защиты направляется на следующий день после подведения итогов заочного этапа Конкурса на электронную почту победителям заочного этапа;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4) IV этап</w:t>
      </w:r>
      <w:r>
        <w:t>: 06 ноября 2020 года</w:t>
      </w:r>
      <w:r>
        <w:t xml:space="preserve"> - объявление победителей.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5) V этап</w:t>
      </w:r>
      <w:r>
        <w:t xml:space="preserve">: </w:t>
      </w:r>
      <w:r>
        <w:t>с 09 ноября по 09 декабря 2020 года – реализация проектов на территории муниципальных образований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6) VI этап:</w:t>
      </w:r>
      <w:r>
        <w:t xml:space="preserve"> с 09 декабря по 11 декабря – сдача отчетности о реализации проектов.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COVID-19 и введенным на территориях субъектов РФ в соответствии с Указом Президента Российской Федерации от 02.03.2020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(COVID-19)», а так же иными нормативными актами Правительства Новосибирской области и постановлениями Губернатора НСО, формат и сроки проведения Конкурса могут быть изменены на усмотрение Организаторов Конкурса.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4.2. Конкурс проводится по двум номинациям: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 номинация «Муниципальные мероприятия»;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2) номинация «Межмуниципальные мероприятия».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4.3. Проекты должны соответствовать следующим направлениям деятельности сферы государственной молодежной политики: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 «Вовлечение молодежи в волонтерскую деятельность»;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2) «Вовлечение молодежи в здоровый и </w:t>
      </w:r>
      <w:proofErr w:type="spellStart"/>
      <w:r>
        <w:t>экологичный</w:t>
      </w:r>
      <w:proofErr w:type="spellEnd"/>
      <w:r>
        <w:t xml:space="preserve"> образ жизни, в том числе профилактика ВИЧ»;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3) Популяризация культуры мира в молодежной среде и профилактика рискованного поведения, в том числе профилактика экстремизма и терроризма»;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4) «Вовлечение молодежи в работу средств массовой информации (молодежные медиа)»;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lastRenderedPageBreak/>
        <w:t>5) «Развитие молодежного самоуправления»;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6) «Работа с молодежью, находящейся в социально-опасном положении»;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7) «Содействие профориентации и карьерным устремлениям молодежи»;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8) «Вовлечение молодежи в занятие творческой деятельностью»;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9) «Формирование у молодежи традиционных семейных ценностей».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4.4. Проекты оцениваются по следующим критериям: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1) </w:t>
      </w:r>
      <w:r w:rsidRPr="009F2F37">
        <w:t xml:space="preserve">соответствие оформления </w:t>
      </w:r>
      <w:r w:rsidRPr="009F2F37">
        <w:t>п</w:t>
      </w:r>
      <w:r w:rsidRPr="009F2F37">
        <w:t>роекта требованиям, установленным п. 4.5 настоящего Положения;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2) соответствие направлениям Конкурса, установленным в п. 4.3 настоящего Положения.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3) соответствие цели и задач, закрепленных в Положении, с идеей реализации </w:t>
      </w:r>
      <w:r>
        <w:t>п</w:t>
      </w:r>
      <w:r>
        <w:t>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4) конкретность и актуальность для молодежи используемых механизмов и средств осуществления </w:t>
      </w:r>
      <w:r>
        <w:t>п</w:t>
      </w:r>
      <w:r>
        <w:t>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5) социальная значимость ожидаемых результатов </w:t>
      </w:r>
      <w:r>
        <w:t>п</w:t>
      </w:r>
      <w:r>
        <w:t>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6) численность граждан, вовлеченных в реализацию </w:t>
      </w:r>
      <w:r>
        <w:t>п</w:t>
      </w:r>
      <w:r>
        <w:t>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7) степень участия в </w:t>
      </w:r>
      <w:r>
        <w:t>п</w:t>
      </w:r>
      <w:r>
        <w:t>роекте общественности, населения;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8) обоснованность объема запрашиваемых средств;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9) наличие дополнительных внебюджетных источников финансирования.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4.5. Проект должен содержать следующие основные разделы: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1) номинация конкурса;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2) наименование направления </w:t>
      </w:r>
      <w:r>
        <w:t>п</w:t>
      </w:r>
      <w:r>
        <w:t>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3) название </w:t>
      </w:r>
      <w:r>
        <w:t>п</w:t>
      </w:r>
      <w:r>
        <w:t>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4) </w:t>
      </w:r>
      <w:r>
        <w:t xml:space="preserve">информация о руководителе </w:t>
      </w:r>
      <w:r>
        <w:t>п</w:t>
      </w:r>
      <w:r>
        <w:t>роекта (ФИО, адрес проживания с индексом, контактный телефон, адрес электронной почты, место работы/учёбы, адреса социальных сетей, паспортные данные, дата и год рождения);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5) состав команды </w:t>
      </w:r>
      <w:r>
        <w:t>п</w:t>
      </w:r>
      <w:r>
        <w:t>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6) география </w:t>
      </w:r>
      <w:r>
        <w:t>п</w:t>
      </w:r>
      <w:r>
        <w:t xml:space="preserve">роекта (территория, где предполагается реализация </w:t>
      </w:r>
      <w:r>
        <w:t>п</w:t>
      </w:r>
      <w:r>
        <w:t xml:space="preserve">роекта; для межмуниципальных – какие районы участвуют в </w:t>
      </w:r>
      <w:r>
        <w:t>п</w:t>
      </w:r>
      <w:r>
        <w:t>роекте);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7) срок реализации проекта (продолжительность проекта: начало реализации проекта (день, месяц, год), окончание реализации проекта (день, месяц, год);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8) бюджет проекта (запрашиваемая сумма в рублях, полная смета проекта);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9) краткое содержание </w:t>
      </w:r>
      <w:r>
        <w:t>п</w:t>
      </w:r>
      <w:r>
        <w:t>роекта (анализ, разъяснение актуальности и новизны, указание сферы применения, функционального назначения, выявление конкретной, локальной и решаемой проблемы);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10) описание проблемы, решению/снижению остроты которой посвящен проект и механизм реализации;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11) основные целевые группы, на который направлен </w:t>
      </w:r>
      <w:r>
        <w:t>п</w:t>
      </w:r>
      <w:r>
        <w:t>роект (предполагаемое количество участников, категория молодежи (школьники, студенты, работающая молодежь, подростки группы риска, молодые люди с ограниченными возможностями);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>12) основные цели и задачи проекта (конкретные качественные и количественные показатели - отдельно учитываются участники и зрители (если предполагаются));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lastRenderedPageBreak/>
        <w:t xml:space="preserve">14) календарный план </w:t>
      </w:r>
      <w:r>
        <w:t>п</w:t>
      </w:r>
      <w:r>
        <w:t>роекта;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14) письма поддержки </w:t>
      </w:r>
      <w:r>
        <w:t>п</w:t>
      </w:r>
      <w:r>
        <w:t>роекта;</w:t>
      </w:r>
    </w:p>
    <w:p w:rsidR="003A6224" w:rsidRPr="00F86590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rStyle w:val="ae"/>
          <w:color w:val="auto"/>
          <w:u w:val="none"/>
        </w:rPr>
      </w:pPr>
      <w:r>
        <w:t>15) согласие на обработку персональных данных.</w:t>
      </w:r>
    </w:p>
    <w:p w:rsidR="00863FCA" w:rsidRPr="00220ABE" w:rsidRDefault="00863FCA" w:rsidP="000C2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highlight w:val="green"/>
        </w:rPr>
      </w:pPr>
    </w:p>
    <w:p w:rsidR="001822E3" w:rsidRPr="00F926A0" w:rsidRDefault="00F926A0" w:rsidP="00C87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</w:rPr>
      </w:pPr>
      <w:r w:rsidRPr="00F926A0">
        <w:rPr>
          <w:b/>
        </w:rPr>
        <w:t>5</w:t>
      </w:r>
      <w:r w:rsidR="009F2F37" w:rsidRPr="009F2F37">
        <w:rPr>
          <w:b/>
        </w:rPr>
        <w:t>. Экспертная комиссия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</w:t>
      </w:r>
      <w:r w:rsidRPr="00F926A0">
        <w:rPr>
          <w:position w:val="0"/>
        </w:rPr>
        <w:t>.1</w:t>
      </w:r>
      <w:r w:rsidRPr="000C2F0E">
        <w:rPr>
          <w:position w:val="0"/>
        </w:rPr>
        <w:t>. </w:t>
      </w:r>
      <w:r w:rsidRPr="00247FE7">
        <w:rPr>
          <w:position w:val="0"/>
        </w:rPr>
        <w:t xml:space="preserve">Заявленные на Конкурс </w:t>
      </w:r>
      <w:r>
        <w:rPr>
          <w:position w:val="0"/>
        </w:rPr>
        <w:t>п</w:t>
      </w:r>
      <w:r w:rsidRPr="00247FE7">
        <w:rPr>
          <w:position w:val="0"/>
        </w:rPr>
        <w:t>роекты оценива</w:t>
      </w:r>
      <w:r w:rsidR="004C64A2">
        <w:rPr>
          <w:position w:val="0"/>
        </w:rPr>
        <w:t>ются в соответствиями с критериями оценки (Приложение 2)</w:t>
      </w:r>
      <w:r w:rsidRPr="00247FE7">
        <w:rPr>
          <w:position w:val="0"/>
        </w:rPr>
        <w:t xml:space="preserve"> экспертн</w:t>
      </w:r>
      <w:r w:rsidR="004C64A2">
        <w:rPr>
          <w:position w:val="0"/>
        </w:rPr>
        <w:t>ой</w:t>
      </w:r>
      <w:r w:rsidRPr="00247FE7">
        <w:rPr>
          <w:position w:val="0"/>
        </w:rPr>
        <w:t xml:space="preserve"> комисси</w:t>
      </w:r>
      <w:r w:rsidR="004C64A2">
        <w:rPr>
          <w:position w:val="0"/>
        </w:rPr>
        <w:t>ей</w:t>
      </w:r>
      <w:r w:rsidRPr="00247FE7">
        <w:rPr>
          <w:position w:val="0"/>
        </w:rPr>
        <w:t>, которая формируется из представителей управления по работе с органами местного самоуправления, общественными организациями и молод</w:t>
      </w:r>
      <w:r>
        <w:rPr>
          <w:position w:val="0"/>
        </w:rPr>
        <w:t>е</w:t>
      </w:r>
      <w:r w:rsidRPr="00247FE7">
        <w:rPr>
          <w:position w:val="0"/>
        </w:rPr>
        <w:t xml:space="preserve">жной политики администрации Новосибирского района Новосибирской области </w:t>
      </w:r>
      <w:r w:rsidRPr="009F2F37">
        <w:rPr>
          <w:position w:val="0"/>
        </w:rPr>
        <w:t>и</w:t>
      </w:r>
      <w:r w:rsidRPr="00247FE7">
        <w:rPr>
          <w:position w:val="0"/>
        </w:rPr>
        <w:t xml:space="preserve"> </w:t>
      </w:r>
      <w:r w:rsidRPr="009F2F37">
        <w:rPr>
          <w:position w:val="0"/>
        </w:rPr>
        <w:t xml:space="preserve">экспертов в области проектного мышления и реализации социально-значимых проектов, </w:t>
      </w:r>
      <w:r w:rsidRPr="009F2F37">
        <w:t>представителей некоммерческих организаций Новосибирского района Новосибирской области и депутатов совета депутатов Новосибирского района Новосибирской области</w:t>
      </w:r>
      <w:r w:rsidRPr="009F2F37">
        <w:rPr>
          <w:position w:val="0"/>
        </w:rPr>
        <w:t>.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5.2</w:t>
      </w:r>
      <w:r w:rsidRPr="00247FE7">
        <w:rPr>
          <w:position w:val="0"/>
        </w:rPr>
        <w:t xml:space="preserve">. </w:t>
      </w:r>
      <w:r>
        <w:rPr>
          <w:position w:val="0"/>
        </w:rPr>
        <w:t>Эксперт</w:t>
      </w:r>
      <w:r w:rsidRPr="00247FE7">
        <w:rPr>
          <w:position w:val="0"/>
        </w:rPr>
        <w:t>ная комиссия: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 xml:space="preserve">1) рассматривает заявленные </w:t>
      </w:r>
      <w:r>
        <w:rPr>
          <w:position w:val="0"/>
        </w:rPr>
        <w:t>п</w:t>
      </w:r>
      <w:r w:rsidRPr="00247FE7">
        <w:rPr>
          <w:position w:val="0"/>
        </w:rPr>
        <w:t>роекты;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>2) определяет победителей Конкурса;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>3) составляет и подписывает протокол об итогах Конкурса;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 w:rsidRPr="00247FE7">
        <w:rPr>
          <w:position w:val="0"/>
        </w:rPr>
        <w:t>4) уведомляет участников Конкурса о результатах Конкурса.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5.3</w:t>
      </w:r>
      <w:r w:rsidRPr="00247FE7">
        <w:rPr>
          <w:position w:val="0"/>
        </w:rPr>
        <w:t xml:space="preserve">. Экспертная комиссия оценивает проекты по направлениям и по балльной системе согласно п. </w:t>
      </w:r>
      <w:r>
        <w:rPr>
          <w:position w:val="0"/>
        </w:rPr>
        <w:t>4.</w:t>
      </w:r>
      <w:r w:rsidRPr="00247FE7">
        <w:rPr>
          <w:position w:val="0"/>
        </w:rPr>
        <w:t>3, п.</w:t>
      </w:r>
      <w:r>
        <w:rPr>
          <w:position w:val="0"/>
        </w:rPr>
        <w:t>4.</w:t>
      </w:r>
      <w:r w:rsidRPr="00247FE7">
        <w:rPr>
          <w:position w:val="0"/>
        </w:rPr>
        <w:t>4, п.</w:t>
      </w:r>
      <w:r>
        <w:rPr>
          <w:position w:val="0"/>
        </w:rPr>
        <w:t>4.5</w:t>
      </w:r>
      <w:r w:rsidRPr="00247FE7">
        <w:rPr>
          <w:position w:val="0"/>
        </w:rPr>
        <w:t xml:space="preserve">. Победившими считаются соискатели, чьи заявки получили наибольшее </w:t>
      </w:r>
      <w:r>
        <w:rPr>
          <w:position w:val="0"/>
        </w:rPr>
        <w:t>количество</w:t>
      </w:r>
      <w:r w:rsidRPr="00247FE7">
        <w:rPr>
          <w:position w:val="0"/>
        </w:rPr>
        <w:t xml:space="preserve"> баллов. В случае равенства баллов правом решающего голоса обладает председатель конкурсной комиссии.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5.4</w:t>
      </w:r>
      <w:r w:rsidRPr="00247FE7">
        <w:rPr>
          <w:position w:val="0"/>
        </w:rPr>
        <w:t xml:space="preserve">. Решение </w:t>
      </w:r>
      <w:r>
        <w:rPr>
          <w:position w:val="0"/>
        </w:rPr>
        <w:t>экспертной</w:t>
      </w:r>
      <w:r w:rsidRPr="00247FE7">
        <w:rPr>
          <w:position w:val="0"/>
        </w:rPr>
        <w:t xml:space="preserve"> комиссии оформляется протоколом заседания </w:t>
      </w:r>
      <w:r>
        <w:rPr>
          <w:position w:val="0"/>
        </w:rPr>
        <w:t>экспертной</w:t>
      </w:r>
      <w:r w:rsidRPr="00247FE7">
        <w:rPr>
          <w:position w:val="0"/>
        </w:rPr>
        <w:t xml:space="preserve"> комиссии, который подписывают председатель, секретарь и все члены </w:t>
      </w:r>
      <w:r w:rsidRPr="00B6178A">
        <w:rPr>
          <w:position w:val="0"/>
        </w:rPr>
        <w:t>экспертной</w:t>
      </w:r>
      <w:r w:rsidRPr="00247FE7">
        <w:rPr>
          <w:position w:val="0"/>
        </w:rPr>
        <w:t xml:space="preserve"> комиссии, в течение 5 рабочих дней после принятия решения </w:t>
      </w:r>
      <w:r w:rsidRPr="00B6178A">
        <w:rPr>
          <w:position w:val="0"/>
        </w:rPr>
        <w:t>экспертной</w:t>
      </w:r>
      <w:r w:rsidRPr="00247FE7">
        <w:rPr>
          <w:position w:val="0"/>
        </w:rPr>
        <w:t xml:space="preserve"> комиссией. После принятия решения о результатах Конкурса и подписания итогового протокола деятельность </w:t>
      </w:r>
      <w:r w:rsidRPr="00B6178A">
        <w:rPr>
          <w:position w:val="0"/>
        </w:rPr>
        <w:t>экспертной</w:t>
      </w:r>
      <w:r w:rsidRPr="00247FE7">
        <w:rPr>
          <w:position w:val="0"/>
        </w:rPr>
        <w:t xml:space="preserve"> комиссии считается законченной</w:t>
      </w:r>
      <w:r>
        <w:rPr>
          <w:position w:val="0"/>
        </w:rPr>
        <w:t>.</w:t>
      </w:r>
    </w:p>
    <w:p w:rsidR="009F2F37" w:rsidRPr="00247FE7" w:rsidRDefault="009F2F37" w:rsidP="009F2F37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5.5</w:t>
      </w:r>
      <w:r w:rsidRPr="00247FE7">
        <w:rPr>
          <w:position w:val="0"/>
        </w:rPr>
        <w:t xml:space="preserve">. Член комиссии не может принимать участие в обсуждении </w:t>
      </w:r>
      <w:r>
        <w:rPr>
          <w:position w:val="0"/>
        </w:rPr>
        <w:t>п</w:t>
      </w:r>
      <w:r w:rsidRPr="00247FE7">
        <w:rPr>
          <w:position w:val="0"/>
        </w:rPr>
        <w:t xml:space="preserve">роекта, если он лично заинтересован в итогах. Он обязан проинформировать об этом комиссию до начала рассмотрения </w:t>
      </w:r>
      <w:r>
        <w:rPr>
          <w:position w:val="0"/>
        </w:rPr>
        <w:t>п</w:t>
      </w:r>
      <w:r w:rsidRPr="00247FE7">
        <w:rPr>
          <w:position w:val="0"/>
        </w:rPr>
        <w:t>роектов. При голосовании его голос не учитывается.</w:t>
      </w:r>
    </w:p>
    <w:p w:rsidR="009F2F37" w:rsidRDefault="009F2F37" w:rsidP="009F2F37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auto"/>
        </w:rPr>
      </w:pPr>
      <w:r>
        <w:rPr>
          <w:position w:val="0"/>
        </w:rPr>
        <w:t>5.6</w:t>
      </w:r>
      <w:r w:rsidRPr="00247FE7">
        <w:rPr>
          <w:position w:val="0"/>
        </w:rPr>
        <w:t xml:space="preserve">. </w:t>
      </w:r>
      <w:r w:rsidRPr="00A265CA">
        <w:rPr>
          <w:color w:val="auto"/>
          <w:position w:val="0"/>
        </w:rPr>
        <w:t>Результаты Конкурса публикуются в группе «Молод</w:t>
      </w:r>
      <w:r w:rsidRPr="00A265CA">
        <w:rPr>
          <w:color w:val="auto"/>
          <w:position w:val="0"/>
        </w:rPr>
        <w:t>е</w:t>
      </w:r>
      <w:r w:rsidRPr="00A265CA">
        <w:rPr>
          <w:color w:val="auto"/>
          <w:position w:val="0"/>
        </w:rPr>
        <w:t>жь Новосибирского района» (</w:t>
      </w:r>
      <w:hyperlink r:id="rId9" w:history="1">
        <w:r w:rsidRPr="00A265CA">
          <w:rPr>
            <w:rStyle w:val="ae"/>
            <w:color w:val="auto"/>
            <w:u w:val="none"/>
          </w:rPr>
          <w:t>https://vk.com/mol_pror</w:t>
        </w:r>
      </w:hyperlink>
      <w:r w:rsidRPr="00A265CA">
        <w:rPr>
          <w:color w:val="auto"/>
          <w:position w:val="0"/>
        </w:rPr>
        <w:t xml:space="preserve">) социальной сети </w:t>
      </w:r>
      <w:proofErr w:type="spellStart"/>
      <w:r w:rsidRPr="00A265CA">
        <w:rPr>
          <w:color w:val="auto"/>
          <w:position w:val="0"/>
        </w:rPr>
        <w:t>Вконтакте</w:t>
      </w:r>
      <w:proofErr w:type="spellEnd"/>
      <w:r w:rsidRPr="00A265CA">
        <w:rPr>
          <w:color w:val="auto"/>
          <w:position w:val="0"/>
        </w:rPr>
        <w:t xml:space="preserve"> и на сайте администрации Новосибирского района (</w:t>
      </w:r>
      <w:hyperlink r:id="rId10" w:history="1">
        <w:r w:rsidRPr="00A265CA">
          <w:rPr>
            <w:rStyle w:val="ae"/>
            <w:color w:val="auto"/>
            <w:position w:val="0"/>
            <w:u w:val="none"/>
          </w:rPr>
          <w:t>http://nsr.nso.ru/</w:t>
        </w:r>
      </w:hyperlink>
      <w:r w:rsidRPr="00A265CA">
        <w:rPr>
          <w:color w:val="auto"/>
          <w:position w:val="0"/>
        </w:rPr>
        <w:t>).</w:t>
      </w:r>
    </w:p>
    <w:p w:rsidR="0094494E" w:rsidRPr="001167ED" w:rsidRDefault="0094494E" w:rsidP="008F4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p w:rsidR="00863FCA" w:rsidRPr="009F2F37" w:rsidRDefault="00CF2B31" w:rsidP="00FE4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 w:themeColor="text1"/>
        </w:rPr>
      </w:pPr>
      <w:r w:rsidRPr="009F2F37">
        <w:rPr>
          <w:b/>
          <w:color w:val="000000" w:themeColor="text1"/>
        </w:rPr>
        <w:t>6</w:t>
      </w:r>
      <w:r w:rsidR="00531990" w:rsidRPr="009F2F37">
        <w:rPr>
          <w:b/>
          <w:color w:val="000000" w:themeColor="text1"/>
        </w:rPr>
        <w:t>. </w:t>
      </w:r>
      <w:r w:rsidR="009F2F37" w:rsidRPr="009F2F37">
        <w:rPr>
          <w:b/>
        </w:rPr>
        <w:t>Условия и порядок финансирования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6.1. Максимальные суммы поддержки до 30 000 рублей.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6.2. Расходы на реализацию проектов осуществляются из средств бюджета Новосибирского района, предусмотренных на реализацию муниципальной программы Новосибирского района Новосибирской области «Развитие молод</w:t>
      </w:r>
      <w:r>
        <w:rPr>
          <w:color w:val="auto"/>
          <w:position w:val="0"/>
          <w:szCs w:val="24"/>
        </w:rPr>
        <w:t>е</w:t>
      </w:r>
      <w:r w:rsidRPr="009F2F37">
        <w:rPr>
          <w:color w:val="auto"/>
          <w:position w:val="0"/>
          <w:szCs w:val="24"/>
        </w:rPr>
        <w:t>жной политики в Новосибирском районе Новосибирской области на 2019-</w:t>
      </w:r>
      <w:r w:rsidRPr="009F2F37">
        <w:rPr>
          <w:color w:val="auto"/>
          <w:position w:val="0"/>
          <w:szCs w:val="24"/>
        </w:rPr>
        <w:lastRenderedPageBreak/>
        <w:t>2021 годы», на основании муниципального контракта №0351300298320000109 от 29.09.2020 года.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 xml:space="preserve">6.3. Финансовая поддержка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 xml:space="preserve">роектов победителей осуществляется в соответствии с наименованиями, представленными в смете расходов, в размере определенном конкурсной комиссией. Победитель может внести корректировки в смету расходов только 1 (один) раз до начала проведения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>роекта.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 xml:space="preserve">6.4. Срок реализации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>роектов с 09 ноября 2020 года по 09 декабря 2020 года. Победитель Конкурса обязан реализовать проект при поддержке муниципального органа по работе с молодежью.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 xml:space="preserve">6.5. В процессе реализации </w:t>
      </w:r>
      <w:r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>роекта, отчет о проведении мероприятия предоставляется в течение 5 рабочих дней со дня проведения мероприятия и должен отражать следующие разделы: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1) описательный отчет (описание целей и задач, не менее 1-го листа, также указываются конкретные качественные и количественные показатели – отдельно учитываются участники и зрители мероприятия);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2) списки участников мероприятия (с указанием ФИО, места учебы/работы);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3) программа мероприятия;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4) фотоотчет (не менее 5 фотографий в электронном виде);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5) публикации в СМИ и социальных сетях (обязательно ссылки на публикации);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6) макеты в электронном виде и экземпляры изготовленной сувенирной продукции (при наличии);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7) анализ обратной связи от участников по итогам проведения мероприятия.</w:t>
      </w:r>
    </w:p>
    <w:p w:rsidR="009F2F37" w:rsidRPr="009F2F37" w:rsidRDefault="009F2F37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>6.6. Победитель несет персональную ответственность за реализацию проекта.</w:t>
      </w:r>
    </w:p>
    <w:p w:rsidR="00326FD1" w:rsidRDefault="009F2F37" w:rsidP="00326FD1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 w:rsidRPr="009F2F37">
        <w:rPr>
          <w:color w:val="auto"/>
          <w:position w:val="0"/>
          <w:szCs w:val="24"/>
        </w:rPr>
        <w:t xml:space="preserve">6.7. Победитель обязан приглашать </w:t>
      </w:r>
      <w:r w:rsidR="00326FD1">
        <w:rPr>
          <w:color w:val="auto"/>
          <w:position w:val="0"/>
          <w:szCs w:val="24"/>
        </w:rPr>
        <w:t>о</w:t>
      </w:r>
      <w:r w:rsidRPr="009F2F37">
        <w:rPr>
          <w:color w:val="auto"/>
          <w:position w:val="0"/>
          <w:szCs w:val="24"/>
        </w:rPr>
        <w:t xml:space="preserve">рганизаторов конкурса на мероприятия </w:t>
      </w:r>
      <w:r w:rsidR="00326FD1">
        <w:rPr>
          <w:color w:val="auto"/>
          <w:position w:val="0"/>
          <w:szCs w:val="24"/>
        </w:rPr>
        <w:t>п</w:t>
      </w:r>
      <w:r w:rsidRPr="009F2F37">
        <w:rPr>
          <w:color w:val="auto"/>
          <w:position w:val="0"/>
          <w:szCs w:val="24"/>
        </w:rPr>
        <w:t>роекта.</w:t>
      </w:r>
    </w:p>
    <w:p w:rsidR="00326FD1" w:rsidRPr="00075403" w:rsidRDefault="00326FD1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</w:p>
    <w:p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Pr="001167ED">
        <w:rPr>
          <w:b/>
          <w:color w:val="000000" w:themeColor="text1"/>
        </w:rPr>
        <w:t>. Организация</w:t>
      </w:r>
      <w:r>
        <w:rPr>
          <w:b/>
          <w:color w:val="000000" w:themeColor="text1"/>
        </w:rPr>
        <w:t xml:space="preserve"> и обеспечение</w:t>
      </w:r>
      <w:r w:rsidRPr="001167E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Конкурса</w:t>
      </w:r>
    </w:p>
    <w:p w:rsidR="00326FD1" w:rsidRPr="00DD382F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color w:val="000000" w:themeColor="text1"/>
        </w:rPr>
      </w:pPr>
      <w:r>
        <w:rPr>
          <w:color w:val="000000" w:themeColor="text1"/>
        </w:rPr>
        <w:t>7.1. </w:t>
      </w:r>
      <w:r w:rsidRPr="00DD382F">
        <w:rPr>
          <w:color w:val="000000" w:themeColor="text1"/>
        </w:rPr>
        <w:t xml:space="preserve"> Организатор </w:t>
      </w:r>
      <w:r>
        <w:rPr>
          <w:color w:val="000000" w:themeColor="text1"/>
        </w:rPr>
        <w:t>Конкурса:</w:t>
      </w:r>
    </w:p>
    <w:p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spacing w:line="240" w:lineRule="auto"/>
        <w:ind w:leftChars="0" w:left="0" w:firstLineChars="0" w:firstLine="709"/>
        <w:jc w:val="both"/>
        <w:outlineLvl w:val="9"/>
      </w:pPr>
      <w:r>
        <w:t>1) осуществляет прием и отбор заявок на участие в Конкурсе посредством АИС «Молодежь России»</w:t>
      </w:r>
      <w:r w:rsidRPr="00F10C88">
        <w:t>;</w:t>
      </w:r>
    </w:p>
    <w:p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 w:rsidRPr="00E53632">
        <w:t xml:space="preserve">2)  обеспечивает освещение </w:t>
      </w:r>
      <w:r>
        <w:t>итогов Конкурса</w:t>
      </w:r>
      <w:r w:rsidRPr="00E53632">
        <w:t xml:space="preserve"> в средствах массовой информации.</w:t>
      </w:r>
    </w:p>
    <w:p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 xml:space="preserve">7.2. Контактное лицо по вопросам участия в Конкурсе: </w:t>
      </w:r>
      <w:proofErr w:type="spellStart"/>
      <w:r>
        <w:t>Чувичаева</w:t>
      </w:r>
      <w:proofErr w:type="spellEnd"/>
      <w:r>
        <w:t xml:space="preserve"> Анастасия, </w:t>
      </w:r>
      <w:r>
        <w:rPr>
          <w:lang w:val="en-US"/>
        </w:rPr>
        <w:t>e</w:t>
      </w:r>
      <w:r w:rsidRPr="00117158">
        <w:t>-</w:t>
      </w:r>
      <w:r>
        <w:rPr>
          <w:lang w:val="en-US"/>
        </w:rPr>
        <w:t>mail</w:t>
      </w:r>
      <w:r w:rsidRPr="00326FD1">
        <w:t xml:space="preserve">: </w:t>
      </w:r>
      <w:hyperlink r:id="rId11" w:history="1">
        <w:r w:rsidRPr="00326FD1">
          <w:rPr>
            <w:rStyle w:val="ae"/>
            <w:color w:val="auto"/>
            <w:u w:val="none"/>
          </w:rPr>
          <w:t>odm.nr@mail.ru</w:t>
        </w:r>
      </w:hyperlink>
      <w:r w:rsidRPr="00326FD1">
        <w:t>, т.373-46-53.</w:t>
      </w: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A265CA" w:rsidRPr="00956EBE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t>ПРИЛОЖЕНИЕ</w:t>
      </w:r>
      <w:r>
        <w:t xml:space="preserve"> 1</w:t>
      </w:r>
    </w:p>
    <w:p w:rsidR="00A265CA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proofErr w:type="gramStart"/>
      <w:r>
        <w:t>к</w:t>
      </w:r>
      <w:proofErr w:type="gramEnd"/>
      <w:r>
        <w:t xml:space="preserve"> Положению о </w:t>
      </w:r>
      <w:r>
        <w:t>конкурсе</w:t>
      </w:r>
      <w:r>
        <w:t xml:space="preserve"> </w:t>
      </w:r>
      <w:r>
        <w:t>поддержки молодежных инициатив</w:t>
      </w:r>
    </w:p>
    <w:p w:rsidR="00A265CA" w:rsidRPr="00716AB3" w:rsidRDefault="00A265CA" w:rsidP="00A265CA">
      <w:pPr>
        <w:tabs>
          <w:tab w:val="left" w:pos="993"/>
        </w:tabs>
        <w:spacing w:before="240" w:line="240" w:lineRule="auto"/>
        <w:ind w:left="0" w:hanging="3"/>
        <w:jc w:val="center"/>
        <w:rPr>
          <w:b/>
          <w:szCs w:val="24"/>
          <w:highlight w:val="white"/>
        </w:rPr>
      </w:pPr>
      <w:r w:rsidRPr="00716AB3">
        <w:rPr>
          <w:b/>
          <w:szCs w:val="24"/>
          <w:highlight w:val="white"/>
        </w:rPr>
        <w:t>Форма для заполнения</w:t>
      </w:r>
    </w:p>
    <w:tbl>
      <w:tblPr>
        <w:tblStyle w:val="aa"/>
        <w:tblW w:w="0" w:type="auto"/>
        <w:tblInd w:w="-1" w:type="dxa"/>
        <w:tblLook w:val="04A0" w:firstRow="1" w:lastRow="0" w:firstColumn="1" w:lastColumn="0" w:noHBand="0" w:noVBand="1"/>
      </w:tblPr>
      <w:tblGrid>
        <w:gridCol w:w="2944"/>
        <w:gridCol w:w="7193"/>
      </w:tblGrid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Номинация конкурса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  <w:r w:rsidRPr="00716AB3">
              <w:rPr>
                <w:szCs w:val="24"/>
              </w:rPr>
              <w:t xml:space="preserve">«Муниципальные </w:t>
            </w:r>
            <w:proofErr w:type="gramStart"/>
            <w:r w:rsidRPr="00716AB3">
              <w:rPr>
                <w:szCs w:val="24"/>
              </w:rPr>
              <w:t>мероприятия»/</w:t>
            </w:r>
            <w:proofErr w:type="gramEnd"/>
            <w:r w:rsidRPr="00716AB3">
              <w:rPr>
                <w:szCs w:val="24"/>
              </w:rPr>
              <w:t xml:space="preserve"> «Межмуниципальные мероприятия»</w:t>
            </w: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Наименование направления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1) «Вовлечение молодежи в волонтерскую деятельность»;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 xml:space="preserve">2) «Вовлечение молодежи в здоровый и </w:t>
            </w:r>
            <w:proofErr w:type="spellStart"/>
            <w:r w:rsidRPr="00716AB3">
              <w:rPr>
                <w:szCs w:val="24"/>
              </w:rPr>
              <w:t>экологичный</w:t>
            </w:r>
            <w:proofErr w:type="spellEnd"/>
            <w:r w:rsidRPr="00716AB3">
              <w:rPr>
                <w:szCs w:val="24"/>
              </w:rPr>
              <w:t xml:space="preserve"> образ жизни»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3) Популяризация культуры мира в молодежной среде и профилактика рискованного поведения, в том числе профилактика экстремизма и терроризма»;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4) «Вовлечение молодежи в работу средств массовой информации (молодежные медиа)»;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5) «Развитие молодежного самоуправления»;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6) «Работа с молодежью, находящейся в социально-опасном положении»;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7) «Содействие профориентации и карьерным устремлениям молодежи»;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8) «Вовлечение молодежи в занятие творческой деятельностью»;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line="240" w:lineRule="auto"/>
              <w:ind w:left="0" w:hanging="3"/>
              <w:rPr>
                <w:szCs w:val="24"/>
              </w:rPr>
            </w:pPr>
            <w:r w:rsidRPr="00716AB3">
              <w:rPr>
                <w:szCs w:val="24"/>
              </w:rPr>
              <w:t>9) «Формирование у молодежи традиционных семейных ценностей».</w:t>
            </w: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Название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</w:tr>
      <w:tr w:rsidR="00A265CA" w:rsidRPr="00716AB3" w:rsidTr="00F55073">
        <w:trPr>
          <w:trHeight w:val="794"/>
        </w:trPr>
        <w:tc>
          <w:tcPr>
            <w:tcW w:w="2944" w:type="dxa"/>
            <w:vMerge w:val="restart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Руководитель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 xml:space="preserve">ФИО: 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Адрес проживания с индексом</w:t>
            </w:r>
            <w:r w:rsidRPr="00716AB3">
              <w:rPr>
                <w:szCs w:val="24"/>
                <w:highlight w:val="white"/>
              </w:rPr>
              <w:t>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Городской (с кодом) и мобильный телефоны: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Адрес электронной почты (обязательно):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Место учёбы/работы (с должностью):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  <w:vMerge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 xml:space="preserve">Адреса социальных сетей (ЖЖ, </w:t>
            </w:r>
            <w:proofErr w:type="spellStart"/>
            <w:r w:rsidRPr="00716AB3">
              <w:rPr>
                <w:b/>
                <w:szCs w:val="24"/>
              </w:rPr>
              <w:t>Твиттер</w:t>
            </w:r>
            <w:proofErr w:type="spellEnd"/>
            <w:r w:rsidRPr="00716AB3">
              <w:rPr>
                <w:b/>
                <w:szCs w:val="24"/>
              </w:rPr>
              <w:t xml:space="preserve">, </w:t>
            </w:r>
            <w:proofErr w:type="spellStart"/>
            <w:r w:rsidRPr="00716AB3">
              <w:rPr>
                <w:b/>
                <w:szCs w:val="24"/>
              </w:rPr>
              <w:t>Вконтакте</w:t>
            </w:r>
            <w:proofErr w:type="spellEnd"/>
            <w:r w:rsidRPr="00716AB3">
              <w:rPr>
                <w:b/>
                <w:szCs w:val="24"/>
              </w:rPr>
              <w:t xml:space="preserve"> и др.):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  <w:highlight w:val="white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География проекта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szCs w:val="24"/>
                <w:highlight w:val="white"/>
              </w:rPr>
            </w:pPr>
            <w:r w:rsidRPr="00716AB3">
              <w:rPr>
                <w:i/>
                <w:szCs w:val="24"/>
                <w:highlight w:val="white"/>
              </w:rPr>
              <w:t>(</w:t>
            </w:r>
            <w:proofErr w:type="gramStart"/>
            <w:r w:rsidRPr="00716AB3">
              <w:rPr>
                <w:i/>
                <w:szCs w:val="24"/>
                <w:highlight w:val="white"/>
              </w:rPr>
              <w:t>перечислить</w:t>
            </w:r>
            <w:proofErr w:type="gramEnd"/>
            <w:r w:rsidRPr="00716AB3">
              <w:rPr>
                <w:i/>
                <w:szCs w:val="24"/>
                <w:highlight w:val="white"/>
              </w:rPr>
              <w:t xml:space="preserve"> все муниципальные образования Новосибирского района, на которые распространяется проект)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Срок реализации проекта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i/>
                <w:szCs w:val="24"/>
                <w:highlight w:val="white"/>
              </w:rPr>
            </w:pPr>
            <w:r w:rsidRPr="00716AB3">
              <w:rPr>
                <w:i/>
                <w:szCs w:val="24"/>
                <w:highlight w:val="white"/>
              </w:rPr>
              <w:t>(</w:t>
            </w:r>
            <w:proofErr w:type="gramStart"/>
            <w:r w:rsidRPr="00716AB3">
              <w:rPr>
                <w:i/>
                <w:szCs w:val="24"/>
                <w:highlight w:val="white"/>
              </w:rPr>
              <w:t>дата</w:t>
            </w:r>
            <w:proofErr w:type="gramEnd"/>
            <w:r w:rsidRPr="00716AB3">
              <w:rPr>
                <w:i/>
                <w:szCs w:val="24"/>
                <w:highlight w:val="white"/>
              </w:rPr>
              <w:t xml:space="preserve"> начала реализации проекта – дата окончания реализации проекта)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  <w:highlight w:val="white"/>
              </w:rPr>
              <w:t>Бюджет проекта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i/>
                <w:szCs w:val="24"/>
                <w:highlight w:val="white"/>
              </w:rPr>
            </w:pPr>
            <w:r w:rsidRPr="00716AB3">
              <w:rPr>
                <w:i/>
                <w:szCs w:val="24"/>
                <w:highlight w:val="white"/>
              </w:rPr>
              <w:t>(</w:t>
            </w:r>
            <w:proofErr w:type="gramStart"/>
            <w:r w:rsidRPr="00716AB3">
              <w:rPr>
                <w:i/>
                <w:szCs w:val="24"/>
                <w:highlight w:val="white"/>
              </w:rPr>
              <w:t>полная</w:t>
            </w:r>
            <w:proofErr w:type="gramEnd"/>
            <w:r w:rsidRPr="00716AB3">
              <w:rPr>
                <w:i/>
                <w:szCs w:val="24"/>
                <w:highlight w:val="white"/>
              </w:rPr>
              <w:t xml:space="preserve"> смета проекта)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</w:rPr>
              <w:t>Краткое содержание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</w:rPr>
              <w:t>Описание проблемы, решению/снижению остроты которой посвящен проект и механизм реализации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  <w:highlight w:val="white"/>
              </w:rPr>
            </w:pPr>
            <w:r w:rsidRPr="00716AB3">
              <w:rPr>
                <w:b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t>Основные цели и задачи проекта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  <w:tr w:rsidR="00A265CA" w:rsidRPr="00716AB3" w:rsidTr="00F55073">
        <w:tc>
          <w:tcPr>
            <w:tcW w:w="2944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firstLineChars="0" w:firstLine="0"/>
              <w:jc w:val="center"/>
              <w:rPr>
                <w:b/>
                <w:szCs w:val="24"/>
              </w:rPr>
            </w:pPr>
            <w:r w:rsidRPr="00716AB3">
              <w:rPr>
                <w:b/>
                <w:szCs w:val="24"/>
              </w:rPr>
              <w:lastRenderedPageBreak/>
              <w:t>Календарный план реализации проекта (этапы):</w:t>
            </w:r>
          </w:p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jc w:val="center"/>
              <w:rPr>
                <w:i/>
                <w:szCs w:val="24"/>
              </w:rPr>
            </w:pPr>
            <w:r w:rsidRPr="00716AB3">
              <w:rPr>
                <w:i/>
                <w:szCs w:val="24"/>
              </w:rPr>
              <w:t>(</w:t>
            </w:r>
            <w:proofErr w:type="gramStart"/>
            <w:r w:rsidRPr="00716AB3">
              <w:rPr>
                <w:i/>
                <w:szCs w:val="24"/>
              </w:rPr>
              <w:t>последовательное</w:t>
            </w:r>
            <w:proofErr w:type="gramEnd"/>
            <w:r w:rsidRPr="00716AB3">
              <w:rPr>
                <w:i/>
                <w:szCs w:val="24"/>
              </w:rPr>
              <w:t xml:space="preserve"> перечисление основных мероприятий проекта с приведением количественных показателей и периодов их осуществления)</w:t>
            </w:r>
          </w:p>
        </w:tc>
        <w:tc>
          <w:tcPr>
            <w:tcW w:w="7193" w:type="dxa"/>
          </w:tcPr>
          <w:p w:rsidR="00A265CA" w:rsidRPr="00716AB3" w:rsidRDefault="00A265CA" w:rsidP="00F55073">
            <w:pPr>
              <w:tabs>
                <w:tab w:val="left" w:pos="993"/>
              </w:tabs>
              <w:spacing w:before="240" w:line="240" w:lineRule="auto"/>
              <w:ind w:leftChars="0" w:left="0" w:firstLineChars="0" w:firstLine="0"/>
              <w:rPr>
                <w:b/>
                <w:szCs w:val="24"/>
              </w:rPr>
            </w:pPr>
          </w:p>
        </w:tc>
      </w:tr>
    </w:tbl>
    <w:p w:rsidR="00A265CA" w:rsidRPr="00716AB3" w:rsidRDefault="00A265CA" w:rsidP="00A265CA">
      <w:pPr>
        <w:tabs>
          <w:tab w:val="left" w:pos="993"/>
        </w:tabs>
        <w:spacing w:before="240" w:line="240" w:lineRule="auto"/>
        <w:ind w:left="0" w:hanging="3"/>
        <w:jc w:val="center"/>
        <w:rPr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35087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  <w:bookmarkStart w:id="0" w:name="_GoBack"/>
      <w:bookmarkEnd w:id="0"/>
    </w:p>
    <w:p w:rsidR="00A265CA" w:rsidRPr="00956EBE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lastRenderedPageBreak/>
        <w:t xml:space="preserve">ПРИЛОЖЕНИЕ </w:t>
      </w:r>
      <w:r>
        <w:t>2</w:t>
      </w:r>
    </w:p>
    <w:p w:rsidR="00A265CA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proofErr w:type="gramStart"/>
      <w:r>
        <w:t>к</w:t>
      </w:r>
      <w:proofErr w:type="gramEnd"/>
      <w:r>
        <w:t xml:space="preserve"> Положению о конкурсе поддержки молодежных инициатив</w:t>
      </w:r>
    </w:p>
    <w:p w:rsidR="00A265CA" w:rsidRP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auto"/>
          <w:position w:val="0"/>
          <w:szCs w:val="24"/>
          <w:highlight w:val="white"/>
        </w:rPr>
      </w:pPr>
      <w:r w:rsidRPr="00A265CA">
        <w:rPr>
          <w:b/>
          <w:color w:val="auto"/>
          <w:position w:val="0"/>
          <w:szCs w:val="24"/>
          <w:highlight w:val="white"/>
        </w:rPr>
        <w:t>Критерии оценки проекта</w:t>
      </w:r>
    </w:p>
    <w:p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Актуальность и социальная значимость проекта</w:t>
      </w:r>
    </w:p>
    <w:p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Логическая связанность и реализуемость проекта, соответствие мероприятий проекта его целям, задачам и ожидаемым результатам</w:t>
      </w:r>
    </w:p>
    <w:p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Реалистичность бюджета проекта и обоснованность планируемых расходов на реализацию проекта</w:t>
      </w:r>
    </w:p>
    <w:p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Масштаб реализации проекта</w:t>
      </w:r>
    </w:p>
    <w:p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Собственный вклад и дополнительные ресурсы, привлекаемые на реализацию проекта, перспективы его дальнейшего развития</w:t>
      </w:r>
    </w:p>
    <w:p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Опыт успешной реализации проектов по соответствующему направлению деятельности</w:t>
      </w:r>
    </w:p>
    <w:p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Соответствие опыта и компетенций команды проекта планируемой деятельности</w:t>
      </w:r>
    </w:p>
    <w:p w:rsidR="00A265CA" w:rsidRPr="00716AB3" w:rsidRDefault="00A265CA" w:rsidP="00A265CA">
      <w:pPr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firstLineChars="0"/>
        <w:textDirection w:val="lrTb"/>
        <w:textAlignment w:val="auto"/>
        <w:outlineLvl w:val="9"/>
        <w:rPr>
          <w:rFonts w:eastAsia="Calibri"/>
          <w:color w:val="auto"/>
          <w:position w:val="0"/>
          <w:szCs w:val="24"/>
          <w:highlight w:val="white"/>
        </w:rPr>
      </w:pPr>
      <w:r w:rsidRPr="00716AB3">
        <w:rPr>
          <w:color w:val="auto"/>
          <w:position w:val="0"/>
          <w:szCs w:val="24"/>
          <w:highlight w:val="white"/>
        </w:rPr>
        <w:t>Информационная открытость, публичность</w:t>
      </w: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716AB3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Default="00A265CA" w:rsidP="00A265CA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auto"/>
          <w:position w:val="0"/>
          <w:sz w:val="32"/>
          <w:szCs w:val="24"/>
          <w:highlight w:val="white"/>
        </w:rPr>
      </w:pPr>
    </w:p>
    <w:p w:rsidR="00A265CA" w:rsidRPr="00956EBE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0" w:firstLineChars="303" w:firstLine="848"/>
      </w:pPr>
    </w:p>
    <w:p w:rsidR="00A265CA" w:rsidRPr="00117158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863FCA" w:rsidRDefault="00863FCA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p w:rsidR="00052CEC" w:rsidRDefault="00052CEC" w:rsidP="00216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sectPr w:rsidR="00052CEC" w:rsidSect="00D222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709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73" w:rsidRDefault="00997273" w:rsidP="00D222F8">
      <w:pPr>
        <w:spacing w:line="240" w:lineRule="auto"/>
        <w:ind w:left="0" w:hanging="3"/>
      </w:pPr>
      <w:r>
        <w:separator/>
      </w:r>
    </w:p>
  </w:endnote>
  <w:endnote w:type="continuationSeparator" w:id="0">
    <w:p w:rsidR="00997273" w:rsidRDefault="00997273" w:rsidP="00D222F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73" w:rsidRDefault="00997273" w:rsidP="00D222F8">
      <w:pPr>
        <w:spacing w:line="240" w:lineRule="auto"/>
        <w:ind w:left="0" w:hanging="3"/>
      </w:pPr>
      <w:r>
        <w:separator/>
      </w:r>
    </w:p>
  </w:footnote>
  <w:footnote w:type="continuationSeparator" w:id="0">
    <w:p w:rsidR="00997273" w:rsidRDefault="00997273" w:rsidP="00D222F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8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875680"/>
      <w:docPartObj>
        <w:docPartGallery w:val="Page Numbers (Top of Page)"/>
        <w:docPartUnique/>
      </w:docPartObj>
    </w:sdtPr>
    <w:sdtEndPr/>
    <w:sdtContent>
      <w:p w:rsidR="00997273" w:rsidRDefault="00C00F2D">
        <w:pPr>
          <w:pStyle w:val="a8"/>
          <w:ind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8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7273" w:rsidRDefault="00997273">
    <w:pPr>
      <w:pStyle w:val="a8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8"/>
      <w:ind w:hanging="2"/>
      <w:jc w:val="center"/>
    </w:pPr>
  </w:p>
  <w:p w:rsidR="00997273" w:rsidRDefault="00997273">
    <w:pPr>
      <w:pStyle w:val="a8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AB4"/>
    <w:multiLevelType w:val="hybridMultilevel"/>
    <w:tmpl w:val="592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7A1E"/>
    <w:multiLevelType w:val="hybridMultilevel"/>
    <w:tmpl w:val="43766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D47A55"/>
    <w:multiLevelType w:val="multilevel"/>
    <w:tmpl w:val="C05C16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FCA"/>
    <w:rsid w:val="000064C2"/>
    <w:rsid w:val="00026AD7"/>
    <w:rsid w:val="00033EE0"/>
    <w:rsid w:val="00052CEC"/>
    <w:rsid w:val="00055AF3"/>
    <w:rsid w:val="00056AEB"/>
    <w:rsid w:val="000755C6"/>
    <w:rsid w:val="000A4E83"/>
    <w:rsid w:val="000A640A"/>
    <w:rsid w:val="000A6C96"/>
    <w:rsid w:val="000B1BCE"/>
    <w:rsid w:val="000C03D9"/>
    <w:rsid w:val="000C153B"/>
    <w:rsid w:val="000C2F0E"/>
    <w:rsid w:val="000C7013"/>
    <w:rsid w:val="000D276C"/>
    <w:rsid w:val="000E6BB0"/>
    <w:rsid w:val="000E7263"/>
    <w:rsid w:val="000F6DB3"/>
    <w:rsid w:val="001001F7"/>
    <w:rsid w:val="00101513"/>
    <w:rsid w:val="00103D09"/>
    <w:rsid w:val="001058B4"/>
    <w:rsid w:val="001146DF"/>
    <w:rsid w:val="001167ED"/>
    <w:rsid w:val="00117158"/>
    <w:rsid w:val="00117D3D"/>
    <w:rsid w:val="00121110"/>
    <w:rsid w:val="001264EB"/>
    <w:rsid w:val="00132F38"/>
    <w:rsid w:val="00147472"/>
    <w:rsid w:val="00151CB3"/>
    <w:rsid w:val="00163BA2"/>
    <w:rsid w:val="0017380C"/>
    <w:rsid w:val="001822E3"/>
    <w:rsid w:val="00192320"/>
    <w:rsid w:val="00196DCC"/>
    <w:rsid w:val="001A0FB0"/>
    <w:rsid w:val="001A12CC"/>
    <w:rsid w:val="001A1BE8"/>
    <w:rsid w:val="001A4A11"/>
    <w:rsid w:val="001B719F"/>
    <w:rsid w:val="001C35AE"/>
    <w:rsid w:val="001D31B7"/>
    <w:rsid w:val="001E2330"/>
    <w:rsid w:val="001E539D"/>
    <w:rsid w:val="001E56CE"/>
    <w:rsid w:val="001F1AEC"/>
    <w:rsid w:val="00200AE1"/>
    <w:rsid w:val="00203D79"/>
    <w:rsid w:val="0020583C"/>
    <w:rsid w:val="0020783F"/>
    <w:rsid w:val="002161A8"/>
    <w:rsid w:val="00220ABE"/>
    <w:rsid w:val="00220D9E"/>
    <w:rsid w:val="00222475"/>
    <w:rsid w:val="00224AF1"/>
    <w:rsid w:val="00232520"/>
    <w:rsid w:val="00235EF7"/>
    <w:rsid w:val="00252EDA"/>
    <w:rsid w:val="002651BB"/>
    <w:rsid w:val="00270022"/>
    <w:rsid w:val="0028245B"/>
    <w:rsid w:val="002964EE"/>
    <w:rsid w:val="0029719E"/>
    <w:rsid w:val="00297D28"/>
    <w:rsid w:val="002A3343"/>
    <w:rsid w:val="002A5A54"/>
    <w:rsid w:val="002A6B8D"/>
    <w:rsid w:val="002B44C3"/>
    <w:rsid w:val="002C53FF"/>
    <w:rsid w:val="002D6379"/>
    <w:rsid w:val="002F7EB3"/>
    <w:rsid w:val="00303421"/>
    <w:rsid w:val="00304B58"/>
    <w:rsid w:val="00312F36"/>
    <w:rsid w:val="00314BE8"/>
    <w:rsid w:val="00316F77"/>
    <w:rsid w:val="0032657B"/>
    <w:rsid w:val="00326FD1"/>
    <w:rsid w:val="003335B9"/>
    <w:rsid w:val="003567AD"/>
    <w:rsid w:val="00361B92"/>
    <w:rsid w:val="00367BDB"/>
    <w:rsid w:val="003738A6"/>
    <w:rsid w:val="00373ADC"/>
    <w:rsid w:val="00392DB2"/>
    <w:rsid w:val="003961C9"/>
    <w:rsid w:val="003A15AB"/>
    <w:rsid w:val="003A4E3F"/>
    <w:rsid w:val="003A6224"/>
    <w:rsid w:val="003B6804"/>
    <w:rsid w:val="003C6D65"/>
    <w:rsid w:val="003D05FB"/>
    <w:rsid w:val="003D1868"/>
    <w:rsid w:val="003D55F0"/>
    <w:rsid w:val="003E76DB"/>
    <w:rsid w:val="003F65A1"/>
    <w:rsid w:val="004025A0"/>
    <w:rsid w:val="00431671"/>
    <w:rsid w:val="00433690"/>
    <w:rsid w:val="00450389"/>
    <w:rsid w:val="00453248"/>
    <w:rsid w:val="00463DEE"/>
    <w:rsid w:val="0046562E"/>
    <w:rsid w:val="00465DCD"/>
    <w:rsid w:val="00471FCA"/>
    <w:rsid w:val="0048624F"/>
    <w:rsid w:val="004C02F4"/>
    <w:rsid w:val="004C1F58"/>
    <w:rsid w:val="004C64A2"/>
    <w:rsid w:val="004C6E34"/>
    <w:rsid w:val="004D123E"/>
    <w:rsid w:val="004D4F7B"/>
    <w:rsid w:val="004E0CDF"/>
    <w:rsid w:val="004F08D5"/>
    <w:rsid w:val="004F6571"/>
    <w:rsid w:val="00502A40"/>
    <w:rsid w:val="005065C1"/>
    <w:rsid w:val="005158BA"/>
    <w:rsid w:val="005238CB"/>
    <w:rsid w:val="005262AB"/>
    <w:rsid w:val="00531990"/>
    <w:rsid w:val="0054446B"/>
    <w:rsid w:val="005534DA"/>
    <w:rsid w:val="005567F0"/>
    <w:rsid w:val="00592114"/>
    <w:rsid w:val="005A15E3"/>
    <w:rsid w:val="005B48C3"/>
    <w:rsid w:val="005B7095"/>
    <w:rsid w:val="005B792B"/>
    <w:rsid w:val="005C4B4D"/>
    <w:rsid w:val="005E607F"/>
    <w:rsid w:val="005F3E3B"/>
    <w:rsid w:val="005F4BD7"/>
    <w:rsid w:val="0060199B"/>
    <w:rsid w:val="00602A65"/>
    <w:rsid w:val="0061110C"/>
    <w:rsid w:val="006125D5"/>
    <w:rsid w:val="00616219"/>
    <w:rsid w:val="00622588"/>
    <w:rsid w:val="00624773"/>
    <w:rsid w:val="00627D9D"/>
    <w:rsid w:val="00627DDC"/>
    <w:rsid w:val="00646E93"/>
    <w:rsid w:val="00647FDB"/>
    <w:rsid w:val="00653D33"/>
    <w:rsid w:val="00654B40"/>
    <w:rsid w:val="006613E6"/>
    <w:rsid w:val="0067484A"/>
    <w:rsid w:val="00687E62"/>
    <w:rsid w:val="006907CA"/>
    <w:rsid w:val="00694ACD"/>
    <w:rsid w:val="00694B58"/>
    <w:rsid w:val="00697038"/>
    <w:rsid w:val="006A12CC"/>
    <w:rsid w:val="006A4ECD"/>
    <w:rsid w:val="006C27DE"/>
    <w:rsid w:val="006C3A33"/>
    <w:rsid w:val="006D0F15"/>
    <w:rsid w:val="006D5A2F"/>
    <w:rsid w:val="006D65B1"/>
    <w:rsid w:val="006E17DE"/>
    <w:rsid w:val="006E37D4"/>
    <w:rsid w:val="006F1E04"/>
    <w:rsid w:val="00701D8C"/>
    <w:rsid w:val="00707CE7"/>
    <w:rsid w:val="0071038C"/>
    <w:rsid w:val="00715460"/>
    <w:rsid w:val="00716B18"/>
    <w:rsid w:val="007221C5"/>
    <w:rsid w:val="00727360"/>
    <w:rsid w:val="00732052"/>
    <w:rsid w:val="007401BE"/>
    <w:rsid w:val="00743D89"/>
    <w:rsid w:val="0075651A"/>
    <w:rsid w:val="00763EE8"/>
    <w:rsid w:val="007643E2"/>
    <w:rsid w:val="0078495C"/>
    <w:rsid w:val="007908EC"/>
    <w:rsid w:val="00790EEE"/>
    <w:rsid w:val="00793F64"/>
    <w:rsid w:val="007B2C8B"/>
    <w:rsid w:val="007D16B0"/>
    <w:rsid w:val="007D709E"/>
    <w:rsid w:val="007D7235"/>
    <w:rsid w:val="007E106E"/>
    <w:rsid w:val="007E1170"/>
    <w:rsid w:val="007F60FA"/>
    <w:rsid w:val="007F6E5D"/>
    <w:rsid w:val="008026CF"/>
    <w:rsid w:val="00821180"/>
    <w:rsid w:val="008211D2"/>
    <w:rsid w:val="00832A4A"/>
    <w:rsid w:val="00847B5A"/>
    <w:rsid w:val="008565C1"/>
    <w:rsid w:val="008633B7"/>
    <w:rsid w:val="00863FCA"/>
    <w:rsid w:val="00874F91"/>
    <w:rsid w:val="00891172"/>
    <w:rsid w:val="008915F6"/>
    <w:rsid w:val="00892564"/>
    <w:rsid w:val="00893B8D"/>
    <w:rsid w:val="008B1CC1"/>
    <w:rsid w:val="008D22D1"/>
    <w:rsid w:val="008E7C28"/>
    <w:rsid w:val="008F48A9"/>
    <w:rsid w:val="008F5EF5"/>
    <w:rsid w:val="009035FA"/>
    <w:rsid w:val="0090606E"/>
    <w:rsid w:val="00906181"/>
    <w:rsid w:val="009067D8"/>
    <w:rsid w:val="009077CB"/>
    <w:rsid w:val="009175AB"/>
    <w:rsid w:val="00921C6A"/>
    <w:rsid w:val="00925229"/>
    <w:rsid w:val="009275EF"/>
    <w:rsid w:val="00934112"/>
    <w:rsid w:val="0094494E"/>
    <w:rsid w:val="00945897"/>
    <w:rsid w:val="0095476A"/>
    <w:rsid w:val="00962142"/>
    <w:rsid w:val="00972D39"/>
    <w:rsid w:val="00973A78"/>
    <w:rsid w:val="009743EB"/>
    <w:rsid w:val="00985A50"/>
    <w:rsid w:val="00986309"/>
    <w:rsid w:val="00997273"/>
    <w:rsid w:val="009978BB"/>
    <w:rsid w:val="009A5075"/>
    <w:rsid w:val="009B0960"/>
    <w:rsid w:val="009B12AF"/>
    <w:rsid w:val="009B3FCC"/>
    <w:rsid w:val="009C0BC4"/>
    <w:rsid w:val="009C691C"/>
    <w:rsid w:val="009D2EFE"/>
    <w:rsid w:val="009E634C"/>
    <w:rsid w:val="009E649D"/>
    <w:rsid w:val="009F2F37"/>
    <w:rsid w:val="009F65CD"/>
    <w:rsid w:val="00A07DD5"/>
    <w:rsid w:val="00A12E33"/>
    <w:rsid w:val="00A14F81"/>
    <w:rsid w:val="00A232BE"/>
    <w:rsid w:val="00A265CA"/>
    <w:rsid w:val="00A27076"/>
    <w:rsid w:val="00A3279A"/>
    <w:rsid w:val="00A35087"/>
    <w:rsid w:val="00A35D4D"/>
    <w:rsid w:val="00A4289F"/>
    <w:rsid w:val="00A45237"/>
    <w:rsid w:val="00A519C2"/>
    <w:rsid w:val="00A575C7"/>
    <w:rsid w:val="00A76804"/>
    <w:rsid w:val="00A77C92"/>
    <w:rsid w:val="00A80D3D"/>
    <w:rsid w:val="00A924AD"/>
    <w:rsid w:val="00A9483D"/>
    <w:rsid w:val="00AA0150"/>
    <w:rsid w:val="00AB61D1"/>
    <w:rsid w:val="00AB6F55"/>
    <w:rsid w:val="00AC067A"/>
    <w:rsid w:val="00AC3336"/>
    <w:rsid w:val="00AD2564"/>
    <w:rsid w:val="00AD4971"/>
    <w:rsid w:val="00AE1878"/>
    <w:rsid w:val="00AE410E"/>
    <w:rsid w:val="00AF6160"/>
    <w:rsid w:val="00B16CC3"/>
    <w:rsid w:val="00B30754"/>
    <w:rsid w:val="00B3229C"/>
    <w:rsid w:val="00B43EB5"/>
    <w:rsid w:val="00B55358"/>
    <w:rsid w:val="00B57AE0"/>
    <w:rsid w:val="00B60EB9"/>
    <w:rsid w:val="00B651A6"/>
    <w:rsid w:val="00B74463"/>
    <w:rsid w:val="00B87120"/>
    <w:rsid w:val="00B91688"/>
    <w:rsid w:val="00B92C62"/>
    <w:rsid w:val="00B95B23"/>
    <w:rsid w:val="00B95BEA"/>
    <w:rsid w:val="00B95C65"/>
    <w:rsid w:val="00BA7514"/>
    <w:rsid w:val="00BC0823"/>
    <w:rsid w:val="00BC0F0A"/>
    <w:rsid w:val="00BC14EE"/>
    <w:rsid w:val="00BD4F87"/>
    <w:rsid w:val="00BE6B72"/>
    <w:rsid w:val="00BF55B9"/>
    <w:rsid w:val="00BF656C"/>
    <w:rsid w:val="00BF6F3B"/>
    <w:rsid w:val="00C00F2D"/>
    <w:rsid w:val="00C0237C"/>
    <w:rsid w:val="00C175DC"/>
    <w:rsid w:val="00C21833"/>
    <w:rsid w:val="00C3072C"/>
    <w:rsid w:val="00C4223C"/>
    <w:rsid w:val="00C47C2F"/>
    <w:rsid w:val="00C57DF4"/>
    <w:rsid w:val="00C63BA7"/>
    <w:rsid w:val="00C65AB9"/>
    <w:rsid w:val="00C668AE"/>
    <w:rsid w:val="00C71230"/>
    <w:rsid w:val="00C719B4"/>
    <w:rsid w:val="00C74BBE"/>
    <w:rsid w:val="00C81884"/>
    <w:rsid w:val="00C87507"/>
    <w:rsid w:val="00C876A0"/>
    <w:rsid w:val="00C93E9B"/>
    <w:rsid w:val="00CA0DAA"/>
    <w:rsid w:val="00CB03FD"/>
    <w:rsid w:val="00CB1DE1"/>
    <w:rsid w:val="00CB4EB3"/>
    <w:rsid w:val="00CC2152"/>
    <w:rsid w:val="00CD3E0A"/>
    <w:rsid w:val="00CD5D04"/>
    <w:rsid w:val="00CD5FE3"/>
    <w:rsid w:val="00CF02A1"/>
    <w:rsid w:val="00CF2B31"/>
    <w:rsid w:val="00D0115E"/>
    <w:rsid w:val="00D022BA"/>
    <w:rsid w:val="00D222F8"/>
    <w:rsid w:val="00D31539"/>
    <w:rsid w:val="00D32AD2"/>
    <w:rsid w:val="00D46578"/>
    <w:rsid w:val="00D47F23"/>
    <w:rsid w:val="00D57C74"/>
    <w:rsid w:val="00D61039"/>
    <w:rsid w:val="00D61C89"/>
    <w:rsid w:val="00D67203"/>
    <w:rsid w:val="00D73B47"/>
    <w:rsid w:val="00D817AA"/>
    <w:rsid w:val="00DA1A56"/>
    <w:rsid w:val="00DA72C1"/>
    <w:rsid w:val="00DB28CD"/>
    <w:rsid w:val="00DB411E"/>
    <w:rsid w:val="00DB516E"/>
    <w:rsid w:val="00DC2040"/>
    <w:rsid w:val="00DC7E0B"/>
    <w:rsid w:val="00DD382F"/>
    <w:rsid w:val="00DE68BC"/>
    <w:rsid w:val="00DF1E09"/>
    <w:rsid w:val="00DF3128"/>
    <w:rsid w:val="00DF5192"/>
    <w:rsid w:val="00DF588A"/>
    <w:rsid w:val="00E00E2A"/>
    <w:rsid w:val="00E011F8"/>
    <w:rsid w:val="00E013A4"/>
    <w:rsid w:val="00E07115"/>
    <w:rsid w:val="00E108F8"/>
    <w:rsid w:val="00E120A0"/>
    <w:rsid w:val="00E138AC"/>
    <w:rsid w:val="00E232E3"/>
    <w:rsid w:val="00E42053"/>
    <w:rsid w:val="00E44C9B"/>
    <w:rsid w:val="00E45784"/>
    <w:rsid w:val="00E53632"/>
    <w:rsid w:val="00E5651F"/>
    <w:rsid w:val="00E72F25"/>
    <w:rsid w:val="00E72F35"/>
    <w:rsid w:val="00E861DE"/>
    <w:rsid w:val="00EA6070"/>
    <w:rsid w:val="00EB008E"/>
    <w:rsid w:val="00EC17C8"/>
    <w:rsid w:val="00EC22A8"/>
    <w:rsid w:val="00EC5B30"/>
    <w:rsid w:val="00ED17AC"/>
    <w:rsid w:val="00EE5809"/>
    <w:rsid w:val="00EF3C1B"/>
    <w:rsid w:val="00EF6B53"/>
    <w:rsid w:val="00F06446"/>
    <w:rsid w:val="00F10C88"/>
    <w:rsid w:val="00F23628"/>
    <w:rsid w:val="00F36021"/>
    <w:rsid w:val="00F40109"/>
    <w:rsid w:val="00F5184E"/>
    <w:rsid w:val="00F519A1"/>
    <w:rsid w:val="00F52845"/>
    <w:rsid w:val="00F565A0"/>
    <w:rsid w:val="00F60A6D"/>
    <w:rsid w:val="00F65A6C"/>
    <w:rsid w:val="00F66014"/>
    <w:rsid w:val="00F85478"/>
    <w:rsid w:val="00F86590"/>
    <w:rsid w:val="00F8794C"/>
    <w:rsid w:val="00F926A0"/>
    <w:rsid w:val="00F978B4"/>
    <w:rsid w:val="00FA18AF"/>
    <w:rsid w:val="00FA488E"/>
    <w:rsid w:val="00FA7666"/>
    <w:rsid w:val="00FC3BED"/>
    <w:rsid w:val="00FD101C"/>
    <w:rsid w:val="00FE3055"/>
    <w:rsid w:val="00FE45BE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5E7C4E71-55A6-4C8A-86EA-B928CAE2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2ED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</w:rPr>
  </w:style>
  <w:style w:type="paragraph" w:styleId="1">
    <w:name w:val="heading 1"/>
    <w:basedOn w:val="a"/>
    <w:next w:val="a"/>
    <w:rsid w:val="00F23628"/>
    <w:pPr>
      <w:keepNext/>
      <w:spacing w:before="240" w:after="6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rsid w:val="00F236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362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rsid w:val="00F236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36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36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36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36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sid w:val="00F23628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paragraph" w:styleId="a4">
    <w:name w:val="Body Text"/>
    <w:basedOn w:val="a"/>
    <w:rsid w:val="00F23628"/>
    <w:pPr>
      <w:spacing w:after="120"/>
    </w:pPr>
    <w:rPr>
      <w:color w:val="auto"/>
      <w:sz w:val="20"/>
      <w:szCs w:val="20"/>
    </w:rPr>
  </w:style>
  <w:style w:type="character" w:customStyle="1" w:styleId="a5">
    <w:name w:val="Основной текст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6">
    <w:name w:val="Body Text Indent"/>
    <w:basedOn w:val="a"/>
    <w:rsid w:val="00F23628"/>
    <w:pPr>
      <w:spacing w:after="120"/>
      <w:ind w:left="283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8">
    <w:name w:val="header"/>
    <w:basedOn w:val="a"/>
    <w:uiPriority w:val="99"/>
    <w:qFormat/>
    <w:rsid w:val="00F23628"/>
    <w:pPr>
      <w:widowControl w:val="0"/>
      <w:adjustRightInd w:val="0"/>
    </w:pPr>
    <w:rPr>
      <w:color w:val="auto"/>
      <w:sz w:val="20"/>
      <w:szCs w:val="20"/>
    </w:rPr>
  </w:style>
  <w:style w:type="character" w:customStyle="1" w:styleId="a9">
    <w:name w:val="Верхний колонтитул Знак"/>
    <w:uiPriority w:val="99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a">
    <w:name w:val="Table Grid"/>
    <w:basedOn w:val="a1"/>
    <w:uiPriority w:val="39"/>
    <w:rsid w:val="00F2362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rsid w:val="00F23628"/>
    <w:pPr>
      <w:autoSpaceDE/>
      <w:autoSpaceDN/>
      <w:ind w:left="720"/>
      <w:contextualSpacing/>
      <w:jc w:val="both"/>
    </w:pPr>
    <w:rPr>
      <w:szCs w:val="24"/>
    </w:rPr>
  </w:style>
  <w:style w:type="paragraph" w:customStyle="1" w:styleId="10">
    <w:name w:val="Обычный1"/>
    <w:rsid w:val="00F23628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8"/>
      <w:lang w:eastAsia="ar-SA"/>
    </w:rPr>
  </w:style>
  <w:style w:type="character" w:customStyle="1" w:styleId="11">
    <w:name w:val="Заголовок 1 Знак"/>
    <w:rsid w:val="00F23628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c">
    <w:name w:val="footer"/>
    <w:basedOn w:val="a"/>
    <w:qFormat/>
    <w:rsid w:val="00F23628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d">
    <w:name w:val="Нижний колонтитул Знак"/>
    <w:rsid w:val="00F2362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ccented">
    <w:name w:val="accented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qFormat/>
    <w:rsid w:val="00F236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Balloon Text"/>
    <w:basedOn w:val="a"/>
    <w:qFormat/>
    <w:rsid w:val="00F2362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rsid w:val="00F23628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rsid w:val="00F236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F236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E68BC"/>
    <w:rPr>
      <w:color w:val="000000"/>
      <w:position w:val="-1"/>
    </w:rPr>
  </w:style>
  <w:style w:type="character" w:styleId="af5">
    <w:name w:val="footnote reference"/>
    <w:basedOn w:val="a0"/>
    <w:uiPriority w:val="99"/>
    <w:semiHidden/>
    <w:unhideWhenUsed/>
    <w:rsid w:val="00DE68BC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DE68B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E68BC"/>
    <w:rPr>
      <w:color w:val="000000"/>
      <w:position w:val="-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E68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E68BC"/>
    <w:rPr>
      <w:b/>
      <w:bCs/>
      <w:color w:val="00000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m.nr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nsr.nso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mol_pro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5a0BkGBL/BpvpqZfAd3OetfGA==">AMUW2mW1/wqqPHOh0G7FNioit+7z/OCziAIt+zX8a+pd6DgFDjCTjB210QYjqdTztBTU61vF+0EYqUkZBu3rZySPIazs3T5cvYDZzotfY/+yfqaKUydPpwsFdfNrJ7uldJZY3sswit6M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5EAF20-8254-411D-ACED-5280B767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1924</Words>
  <Characters>11738</Characters>
  <Application>Microsoft Office Word</Application>
  <DocSecurity>0</DocSecurity>
  <Lines>2934</Lines>
  <Paragraphs>1366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</dc:creator>
  <cp:lastModifiedBy>Александр Ю. Зайков</cp:lastModifiedBy>
  <cp:revision>25</cp:revision>
  <cp:lastPrinted>2020-07-06T04:44:00Z</cp:lastPrinted>
  <dcterms:created xsi:type="dcterms:W3CDTF">2020-08-24T08:20:00Z</dcterms:created>
  <dcterms:modified xsi:type="dcterms:W3CDTF">2020-10-21T08:05:00Z</dcterms:modified>
</cp:coreProperties>
</file>