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D2" w:rsidRPr="00403CD2" w:rsidRDefault="00403CD2" w:rsidP="00403CD2">
      <w:pPr>
        <w:shd w:val="clear" w:color="auto" w:fill="E8E8E8"/>
        <w:spacing w:before="48" w:after="48" w:line="240" w:lineRule="auto"/>
        <w:outlineLvl w:val="1"/>
        <w:rPr>
          <w:rFonts w:ascii="Verdana" w:eastAsia="Times New Roman" w:hAnsi="Verdana" w:cs="Times New Roman"/>
          <w:b/>
          <w:bCs/>
          <w:color w:val="1B4B65"/>
          <w:sz w:val="24"/>
          <w:szCs w:val="24"/>
          <w:lang w:eastAsia="ru-RU"/>
        </w:rPr>
      </w:pPr>
      <w:r w:rsidRPr="00403CD2">
        <w:rPr>
          <w:rFonts w:ascii="Verdana" w:eastAsia="Times New Roman" w:hAnsi="Verdana" w:cs="Times New Roman"/>
          <w:b/>
          <w:bCs/>
          <w:color w:val="1B4B65"/>
          <w:sz w:val="24"/>
          <w:szCs w:val="24"/>
          <w:lang w:eastAsia="ru-RU"/>
        </w:rPr>
        <w:t>Комиссия по земельным и инвестиционным вопросам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АДМИНИСТРАЦИЯ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КРИВОДАНОВСКОГО СЕЛЬСОВЕТА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proofErr w:type="gramStart"/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П</w:t>
      </w:r>
      <w:proofErr w:type="gramEnd"/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 xml:space="preserve"> О С Т А Н О В Л Е Н И Е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09.07.2012        г.                                                                                                                        № 330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О создании комиссии по земельным и инвестиционным вопросам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администрации муниципального образования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Криводановский сельсовет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bookmarkStart w:id="0" w:name="_GoBack"/>
      <w:bookmarkEnd w:id="0"/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 соответствии с Федеральным </w:t>
      </w:r>
      <w:hyperlink r:id="rId5" w:history="1">
        <w:r w:rsidRPr="00403CD2">
          <w:rPr>
            <w:rFonts w:ascii="Tahoma" w:eastAsia="Times New Roman" w:hAnsi="Tahoma" w:cs="Tahoma"/>
            <w:color w:val="B22401"/>
            <w:sz w:val="17"/>
            <w:szCs w:val="17"/>
            <w:u w:val="single"/>
            <w:lang w:eastAsia="ru-RU"/>
          </w:rPr>
          <w:t>законом</w:t>
        </w:r>
      </w:hyperlink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"Об общих принципах организации местного самоуправления в Российской Федерации" от 06.10.2003 N 131-ФЗ, Земельным кодексом РФ, Федеральным законом "О введении в действие Земельного кодекса РФ" от 25.10.2001 N 137-ФЗ, Устава Криводановского сельсовета Новосибирского района Новосибирской области, в целях реализации полномочий органов местного самоуправления в сфере земельных правоотношений, повышения эффективности использования земель на территории  муниципального образования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Криводановский сельсовет Новосибирского района Новосибирской области, а также создания благоприятных условий по привлечению инвестиций в экономику определения целесообразности и возможности реализации инвестиционных проектов на территории муниципального образования  Криводановский сельсовет 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ПОСТАНОВЛЯЮ: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1. Утвердить Положение о комиссии по земельным и инвестиционным вопросам администрации муниципального образования Криводановский сельсовет Новосибирского района Новосибирской области  (Приложение №1).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2.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Утвердить состав комиссии по земельным и инвестиционным вопросам администрации муниципального образования Криводановский сельсовет Новосибирского района Новосибирской области  (Приложение № 2).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3. 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Распоряжение администрации муниципального образования Криводановский сельсовет   Новосибирского района Новосибирской области от 08.08.2007  N 50/1р "О создании комиссии" считать утратившим силу.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Опубликовать настоящее постановление в газете «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Приобская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Правда» и разместить на официальном сайте администрации Криводановского сельсовета Новосибирского района Новосибирской области в сети Интернет.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5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. 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Контроль за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исполнением настоящего постановления возложить на заместителя главы администрации Криводановского сельсовета Новосибирского района Новосибирской области  Асташову В. Н.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Глава Криводановского сельсовета                                                                         В. И. Чернов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ПРИЛОЖЕНИЕ № 1 </w:t>
      </w: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br/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 постановлению администрации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/>
        <w:t>муниципального образования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/>
        <w:t>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от 09.07.2012  N 330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ПОЛОЖЕНИЕ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о комиссии по земельным и инвестиционным вопросам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администрации муниципального образования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lastRenderedPageBreak/>
        <w:t>Криводановский сельсовет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 Общие положения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1. Настоящее Положение устанавливает компетенцию и порядок организации деятельности комиссии по земельным и инвестиционным вопросам администрации муниципального образования Криводановский сельсовет Новосибирского района Новосибирской области  (далее - Комиссия).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1.2.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Комиссия образована в целях координации деятельности органов местного самоуправления Криводановского сельсовета, должностных лиц администрации Криводановского сельсовета в сфере земельных отношений в соответствии с полномочиями, установленными действующим законодательством, иными правовыми актами Российской Федерации, Новосибирской области, нормативными правовыми актами Совета депутатов Криводановского сельсовета и администрации Криводановского сельсовета, а также с целью коллегиального рассмотрения вопросов предоставления земельных участков для строительства, для целей не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связанных со строительством, для размещения объектов движимого имущества физическим и юридическим лицам в соответствии с действующим земельным законодательством, изъятия земельных участков в границах муниципального образования Криводановский сельсовет, для защиты экономических интересов муниципального образования Криводановский сельсовет, привлечения инвестиций в экономику, увеличения налогооблагаемой базы, координации развития промышленных объектов, производственной и социальной инфраструктуры, максимального сохранения сельскохозяйственных и лесных угодий и решения иных вопросов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в области использования земель на территории муниципального образования Криводановский сельсовет Новосибирского района Новосибирской области.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1.3.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Комиссия является постоянно действующим коллегиальным совещательным органом администрации Криводановского сельсовета Новосибирского района Новосибирской области.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1.4.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В своей деятельности Комиссия руководствуется Конституцией Российской Федерации, действующим законодательством Российской Федерации и Новосибирской области, Уставом Криводановского сельсовета Новосибирского района Новосибирской области, нормативно-правовыми актами Совета депутатов Криводановского  сельсовета Новосибирского района Новосибирской области, администрации Криводановского сельсовета Новосибирского района Новосибирской области, а также настоящим Положением.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1.5.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Образование Комиссии, утверждение Положения о Комисс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ии и ее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персонального состава, внесение изменений в Положение осуществляются главой муниципального образования Криводановский сельсовет Новосибирского района Новосибирской области район.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1.6.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Для участия в заседаниях Комиссии могут приглашаться депутаты, представители муниципальных предприятий и учреждений, а также представители территориальных федеральных, областных  и районных органов исполнительной власти, служб, ведомств и других организаций без права совещательного голоса.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1.7.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Члены и участники Комиссии, не являющиеся сотрудниками администрации муниципального образования Криводановский сельсовет и включенные в состав Комиссии по согласованию, выполняют работу не связанную с дополнительным возложением функциональных обязанностей в форме квалифицированной помощи и консультаций.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1.8</w:t>
      </w:r>
      <w:proofErr w:type="gramStart"/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работе Комиссии может принимать участие заявитель или его законный   представитель при наличии доверенности, оформленной надлежащим образом.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1.9.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Формой работы Комиссии является заседание.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1.10.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Решения Комиссии фиксируется в протоколе, и носят рекомендательный характер. Решения Комиссии могут оформляться в виде заключений или выписок из протокола заседания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1.11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Протокол Комиссии утверждается постановлением администрации  муниципального   образования Криводановский сельсовет и с этого момента приобретает силу ненормативного правового акта органа местного самоуправления.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1.12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Решение Комиссии является действительным и подлежит исполнению в течение 12 календарных месяцев с момента его вынесения. Если решение Комиссии не исполнено в течение этого срока, оно автоматически утрачивает юридическую силу.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1.13.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Глава Криводановского сельсовета вправе не согласиться с решением Комиссии по любому из рассмотренных вопросов. В этом случае вопрос подлежит повторному вынесению на рассмотрение Комиссии с учетом дополнительных обстоятельств и документов.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lastRenderedPageBreak/>
        <w:t>2. Компетенция Комиссии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2.1.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К компетенции Комиссии относится рассмотрение заявлений и представленных в соответствии с действующим законодательством документов граждан и организаций, а также принятие решений по следующим вопросам: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предоставления земельных участков в собственность или аренду для индивидуального жилищного и иного строительства;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предварительного согласования места размещения объекта строительства;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прекращения (расторжения) договоров аренды земельных участков;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-предоставления земельных участков на праве постоянного (бессрочного) пользования, безвозмездного срочного пользования;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утверждения схем расположения земельных участков на кадастровом плане или кадастровой карте в целях осуществления кадастрового учета таких земельных участков;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определения в соответствии с действующим законодательством условий предоставления земельных участков в части выставления на торги, бесплатного предоставления, определения выкупной цены, выполнения требований и предписаний контролирующих и надзорных органов;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установления и прекращения действия публичных сервитутов;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резервирования земель для муниципальных нужд;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- направления рассматриваемых материалов 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в надзорные органы с целью привлечения виновных лиц к административной ответственности за нарушение действующего законодательства в сфере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земельных и градостроительных правоотношений;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принятия мер по предотвращению деградации, загрязнения, захламления земель при осуществлении строительства и иной хозяйственной деятельности на территории Района: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выдачи рекомендаций заявителям о дальнейшем порядке действий по оформлению земельных участков в случаях, когда принятие решений органов местного самоуправления невозможно или не требуется;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предоставления гражданам в собственность или аренду сверхнормативной площади земельных участков, предоставленных для ведения садоводства, огородничества и дачного хозяйства;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принятие решений о возможности предоставления земельных участков для реализации инвестиционных проектов посредством проведения торгов;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- принятие решения о возможности и необходимости продления договоров аренды земельных участков, предоставленных для строительства объектов, срок действия которых истекает, а строительство объектов </w:t>
      </w:r>
      <w:proofErr w:type="spell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незавершенно</w:t>
      </w:r>
      <w:proofErr w:type="spell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, а также предоставленных под размещение объектов движимого имущества;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принятие решений об изъятии земельных участков в соответствии с действующим законодательством;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  принятие решения о присвоении статуса одобренного инвестиционного проекта на территории муниципального образования Криводановский сельсовет проектам, которые обладают наибольшей значимостью для экономики и развития инфраструктуры района в рамках стратегии инвестиционного развития муниципального образования Криводановский сельсовет, с целью предоставления одной из форм поддержки: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вынесение соответствующих вопросов на рассмотрение депутатов Совета депутатов муниципального образования Криводановский сельсовет  о предоставлении льгот по уплате местных налогов и иных платежей;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предоставление субъектам инвестиционной деятельности не противоречащих действующему законодательству льготных условий пользования имуществом, землей и другими природными ресурсами, находящимися в собственности муниципального образования Криводановский сельсовет;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 подготовка заключений о целесообразности размещения инвестиционных проектов на территории муниципального образования Криводановский сельсовет;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lastRenderedPageBreak/>
        <w:t>-  Комиссия рассматривает иные вопросы, отнесенные к компетенции органов местного самоуправления, возникающие при использовании земли и привлечении инвестиций на территории муниципального образования Криводановский сельсовет.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3. Права и обязанности Комиссии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3.1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Комиссия вправе: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проводить анализ представленных документов на их достоверность и соответствие действующему законодательству;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направлять гражданами и организациям (далее - заявители) письменные заключения и предложения по рассматриваемым вопросам;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истребовать у заявителей дополнительные документы в соответствии с действующим законодательством Российской Федерации;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направлять представленные заявителями документы в компетентные органы с целью проверки использования земельных участков по целевому назначению, соблюдения земельного, градостроительного, лесного, водного и др. законодательства;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представлять главе Криводановского сельсовета предложения и давать разъяснения по вопросам, относящимся к компетенции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допускать к участию в заседании Комиссии заявителей, интересы которых затрагиваются решением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запрашивать в установленном порядке от юридических, физических лиц, отраслевых органов, администрации Новосибирского района, иных организаций, документы, позволяющие оценить целесообразность размещения объекта, его влияние на окружающую среду и другие аспекты жизнедеятельности района;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привлекать в установленном порядке к своей работе экспертов специализированных организаций для проработки отдельных проектов (предложений), выносимых на рассмотрение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приглашать и заслушивать инвесторов либо их представителей по вопросам, входящим в компетенцию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  давать поручения членам и участникам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3.2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Комиссия обязана: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принимать решения по вопросам, относящимся к ее компетенции, в соответствии с действующим законодательством в установленный законом срок;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направлять протоколы заседания Комиссии на утверждение главы администрации Криводановского сельсовета Новосибирского района Новосибирской области;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сообщать заявителям о принятых Комиссией решениях в отношении земельных участков, находящихся на территории поселения.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 Организация деятельности Комиссии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Комиссию возглавляет председатель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4.2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Председатель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осуществляет общее руководство деятельностью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координирует работу членов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принимает решение о созыве очередного (внеочередного) заседания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согласовывает повестку дня заседания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lastRenderedPageBreak/>
        <w:t>- ведет заседания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принимает решение о создании рабочей группы Комиссии;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- осуществляет другие полномочия в качестве председателя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4.3.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Заседания Комиссии проводятся, как правило, один раз в неделю - два раза в месяц по рассмотрению заявлений и документов от граждан, два раза в месяц - по рассмотрению заявлений и документов от организаций.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4.4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Повестку дня и материалы для работы Комиссии по рассмотрению вопросов в сфере земельных отношений готовит секретарь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4.5.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Члены и участники Комиссии официально извещаются о времени проведения Комиссии не позднее трех дней до дня заседания. Ответственным за оповещение является секретарь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4.6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4.7.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Заседания Комиссии считаются 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правомочными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если на них присутствует более половины входящих в ее состав членов и участников.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4.8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Решения Комиссии принимаются простым большинством голосов членов и участников Комиссии, присутствующих на заседании. При равенстве голосов, голос председательствующего на заседании Комиссии является решающим.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4.9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Результаты работы Комиссии по окончании заседания оформляются протоколом, который подписывается всеми членами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4.10.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Ведение протокола осуществляет секретарь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4.11.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Решения Комиссии доводятся до сведения заявителей в виде выписки из протокола Комиссии, подписанной секретарем Комиссии, скрепленной печатью администрации Криводановского сельсовета Новосибирского района Новосибирской области. В выписке указывается дата ее получения заявителем.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4.12.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На основании Протокола заседания Комиссии подготавливаются проекты постановлений администрации Криводановского сельсовета об утверждении протоколов Комиссии и для направления заявителям выписок из протокола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4.13.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Заявитель обращается за выпиской из протокола Комиссии соответственно к секретарю комиссии лично либо через своего представителя, полномочия которого оформлены надлежащим образом. Выписка из протокола направляется заявителю простым письмом по почте только при условии соответствующего письменного обращения заявителя. В случае если по истечении одного месяца </w:t>
      </w:r>
      <w:proofErr w:type="gramStart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с даты утверждения</w:t>
      </w:r>
      <w:proofErr w:type="gramEnd"/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 xml:space="preserve"> протокола Комиссии постановлением администрации Криводановского сельсовета заявитель не обратился за выпиской из протокола Комиссии, с этого момента заявитель по умолчанию считается уведомленным о принятом по его вопросу решении Комиссии.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4.14.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Комиссия прекращает свою деятельность на основании постановления Главы Криводановского сельсовета.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5. Обжалование решений Комиссии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5.1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. Решения Комиссии, утвержденные постановлением администрации Криводановского сельсовета, могут быть обжалованы заинтересованными лицами в судебном порядке, установленном действующим процессуальным законодательством для оспаривания ненормативных правовых актов органов местного самоуправления.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 w:type="textWrapping" w:clear="all"/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 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ПРИЛОЖЕНИЕ  №  2 </w:t>
      </w: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br/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 постановлению администрации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/>
        <w:t>муниципального образования </w:t>
      </w: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br/>
        <w:t>Новосибирского района Новосибирской области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lastRenderedPageBreak/>
        <w:t>от 09.07.2012  N 330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СОСТАВ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комиссии по земельным и инвестиционным вопросам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color w:val="113040"/>
          <w:sz w:val="17"/>
          <w:szCs w:val="17"/>
          <w:lang w:eastAsia="ru-RU"/>
        </w:rPr>
        <w:t>администрации муниципального образования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Криводановский сельсовет</w:t>
      </w:r>
    </w:p>
    <w:p w:rsidR="00403CD2" w:rsidRPr="00403CD2" w:rsidRDefault="00403CD2" w:rsidP="00403CD2">
      <w:pPr>
        <w:shd w:val="clear" w:color="auto" w:fill="E8E8E8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3040"/>
          <w:sz w:val="17"/>
          <w:szCs w:val="17"/>
          <w:lang w:eastAsia="ru-RU"/>
        </w:rPr>
      </w:pPr>
      <w:r w:rsidRPr="00403CD2">
        <w:rPr>
          <w:rFonts w:ascii="Tahoma" w:eastAsia="Times New Roman" w:hAnsi="Tahoma" w:cs="Tahoma"/>
          <w:b/>
          <w:bCs/>
          <w:color w:val="113040"/>
          <w:sz w:val="17"/>
          <w:szCs w:val="17"/>
          <w:lang w:eastAsia="ru-RU"/>
        </w:rPr>
        <w:t>Новосибирского района Новосибирской области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456"/>
        <w:gridCol w:w="6211"/>
      </w:tblGrid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члена комиссии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В. И.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Криводановского сельсовета Новосибирского района Новосибирской области </w:t>
            </w:r>
            <w:proofErr w:type="gram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комиссии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Асташова В. Н.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Криводановского сельсовета Новосибирского района Новосибирской области – заместитель председателя комиссии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Лоцманова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Криводановского сельсовета Новосибирского района Новосибирской области – секретарь комиссии</w:t>
            </w:r>
          </w:p>
        </w:tc>
      </w:tr>
      <w:tr w:rsidR="00403CD2" w:rsidRPr="00403CD2" w:rsidTr="00403CD2">
        <w:tc>
          <w:tcPr>
            <w:tcW w:w="9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Трубицина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В.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администрации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Федченко О. Г.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I-разряда администрации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Якуба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Рябаниделя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96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комиссии по согласованию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Мяоц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Н.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I-разряда Управления земельных отношений администрации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 Д. С.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С. Ю.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В. М.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депутатов Криводановского сельсовета Новосибирского района Новосибирской области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Стрельникова Л. П.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«</w:t>
            </w: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Промстрой</w:t>
            </w:r>
            <w:proofErr w:type="spellEnd"/>
            <w:proofErr w:type="gram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03CD2" w:rsidRPr="00403CD2" w:rsidTr="00403C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Габидулина</w:t>
            </w:r>
            <w:proofErr w:type="spell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А.</w:t>
            </w:r>
          </w:p>
        </w:tc>
        <w:tc>
          <w:tcPr>
            <w:tcW w:w="64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03CD2" w:rsidRPr="00403CD2" w:rsidRDefault="00403CD2" w:rsidP="00403C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Староста села </w:t>
            </w:r>
            <w:proofErr w:type="gramStart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Марусино</w:t>
            </w:r>
            <w:proofErr w:type="gramEnd"/>
            <w:r w:rsidRPr="004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Новосибирского района Новосибирской области</w:t>
            </w:r>
          </w:p>
        </w:tc>
      </w:tr>
    </w:tbl>
    <w:p w:rsidR="00FE68FB" w:rsidRDefault="00FE68FB"/>
    <w:sectPr w:rsidR="00FE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AA"/>
    <w:rsid w:val="003C64AA"/>
    <w:rsid w:val="00403CD2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2633</Words>
  <Characters>15009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2017-08-11T08:48:00Z</dcterms:created>
  <dcterms:modified xsi:type="dcterms:W3CDTF">2017-08-11T08:49:00Z</dcterms:modified>
</cp:coreProperties>
</file>